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The problems in CA air quality regulations can be distilled to two main (and overlapping) challenges for power plant developers:</w:t>
      </w:r>
    </w:p>
    <w:p>
      <w:pPr>
        <w:pStyle w:val="Normal"/>
        <w:rPr/>
      </w:pPr>
      <w:r>
        <w:rPr/>
      </w:r>
    </w:p>
    <w:p>
      <w:pPr>
        <w:pStyle w:val="Normal"/>
        <w:numPr>
          <w:ilvl w:val="0"/>
          <w:numId w:val="1"/>
        </w:numPr>
        <w:rPr/>
      </w:pPr>
      <w:r>
        <w:rPr/>
        <w:t>The inflexibility of the requirements for offsetting the air quality impacts of a power generation project.</w:t>
      </w:r>
    </w:p>
    <w:p>
      <w:pPr>
        <w:pStyle w:val="Normal"/>
        <w:numPr>
          <w:ilvl w:val="0"/>
          <w:numId w:val="1"/>
        </w:numPr>
        <w:rPr/>
      </w:pPr>
      <w:r>
        <w:rPr/>
        <w:t>CA’s multiple, politically defined, local air quality jurisdictions.</w:t>
      </w:r>
    </w:p>
    <w:p>
      <w:pPr>
        <w:pStyle w:val="Normal"/>
        <w:rPr/>
      </w:pPr>
      <w:r>
        <w:rPr/>
      </w:r>
    </w:p>
    <w:p>
      <w:pPr>
        <w:pStyle w:val="Normal"/>
        <w:rPr/>
      </w:pPr>
      <w:r>
        <w:rPr/>
        <w:t xml:space="preserve">Much of California is in nonattainment for National Ambient Air Quality Standards (NAAQS).  By Federal law, any major source of new emissions in a nonattainment area must offset those emissions through reductions in emissions from some other source within the air basin or another downwind air basin that transports pollution into the air basin.   </w:t>
      </w:r>
    </w:p>
    <w:p>
      <w:pPr>
        <w:pStyle w:val="Normal"/>
        <w:rPr/>
      </w:pPr>
      <w:r>
        <w:rPr/>
      </w:r>
    </w:p>
    <w:p>
      <w:pPr>
        <w:pStyle w:val="Normal"/>
        <w:rPr/>
      </w:pPr>
      <w:r>
        <w:rPr/>
        <w:t xml:space="preserve">These offsets, in the form of Emissions Reduction Credits or ERCs (except for the RECLAIM program in southern CA) must be verifiable and surplus reductions at an existing source of emissions.  Since CA has had air quality problems for numerous years many of the potential sources for reductions have already been mandated to cut their emissions.  In sum, the supply of ERCs is very tight and in some cases non-existent.  Where ERCs or offsets do exist to be bought the growth in demand for these credits has driven the price up sharply over the last year.  </w:t>
      </w:r>
    </w:p>
    <w:p>
      <w:pPr>
        <w:pStyle w:val="Normal"/>
        <w:rPr/>
      </w:pPr>
      <w:r>
        <w:rPr/>
      </w:r>
    </w:p>
    <w:p>
      <w:pPr>
        <w:pStyle w:val="Normal"/>
        <w:rPr/>
      </w:pPr>
      <w:r>
        <w:rPr/>
        <w:t xml:space="preserve">Examples:   PG&amp;E’s Otay Mesa project in San Diego was not able to locate any ERCs on the open-market, and had to structure a complex transaction which involved retrofitting garbage trucks and guaranteeing their performance in order to generate emissions offsets in the air district, and gain approval from local permitters for their project.  </w:t>
      </w:r>
    </w:p>
    <w:p>
      <w:pPr>
        <w:pStyle w:val="Normal"/>
        <w:rPr/>
      </w:pPr>
      <w:r>
        <w:rPr/>
      </w:r>
    </w:p>
    <w:p>
      <w:pPr>
        <w:pStyle w:val="Normal"/>
        <w:rPr/>
      </w:pPr>
      <w:r>
        <w:rPr/>
        <w:t xml:space="preserve">The most dramatic increase in the price of offsets can be seen in the South Coast Air Quality Management District (SCAQMD) RECLAIM cap and trade program.  The average price of NOx RTCs for compliance year 2000, traded in the year 2000, increased to over $45,000 per ton compared to the average price of $4,248 per ton traded in 1999.  The price increase was so severe that the SCAQMD Governing Board has just completed a study on how to stabilize the prices and allow generators to run during the power emergencies.  </w:t>
      </w:r>
    </w:p>
    <w:p>
      <w:pPr>
        <w:pStyle w:val="Normal"/>
        <w:rPr/>
      </w:pPr>
      <w:r>
        <w:rPr/>
      </w:r>
    </w:p>
    <w:p>
      <w:pPr>
        <w:pStyle w:val="Normal"/>
        <w:rPr/>
      </w:pPr>
      <w:r>
        <w:rPr/>
        <w:t>On top of the pure supply constraints in the offset markets, CA has an overly burdensome regulatory framework consisting of 35 air pollution control districts that oversee emissions from stationary sources.  These range from small, single county districts to multi-county agencies such as the Bay Area and South Coast AQMDs.  These multiple jurisdictions add to the difficulties power generators face in meeting requirements to obtain ERCs in advance of project development.  Each air basin has its own set of issues, and many impose political decisions on the use and transferability of offsets among air districts that has nothing to do with air quality impacts.</w:t>
      </w:r>
    </w:p>
    <w:p>
      <w:pPr>
        <w:pStyle w:val="Normal"/>
        <w:rPr/>
      </w:pPr>
      <w:r>
        <w:rPr/>
        <w:t xml:space="preserve">Recommendations:  Power generators need greater flexibility and certainty in meeting air quality requirements.  In markets that are extremely constrained for ERCs, power generators are spending months trying to collect enough ERCs to cover the emissions from their projects, only to find the validity questioned or to face additional requirements from downwind air districts.   </w:t>
      </w:r>
    </w:p>
    <w:p>
      <w:pPr>
        <w:pStyle w:val="Normal"/>
        <w:rPr/>
      </w:pPr>
      <w:r>
        <w:rPr/>
      </w:r>
    </w:p>
    <w:p>
      <w:pPr>
        <w:pStyle w:val="Normal"/>
        <w:rPr/>
      </w:pPr>
      <w:r>
        <w:rPr/>
        <w:t xml:space="preserve">There are ways to make the environment whole, but also allow critical power needs to be met.  </w:t>
      </w:r>
    </w:p>
    <w:p>
      <w:pPr>
        <w:pStyle w:val="Normal"/>
        <w:rPr/>
      </w:pPr>
      <w:r>
        <w:rPr/>
      </w:r>
    </w:p>
    <w:p>
      <w:pPr>
        <w:pStyle w:val="Normal"/>
        <w:numPr>
          <w:ilvl w:val="0"/>
          <w:numId w:val="2"/>
        </w:numPr>
        <w:rPr/>
      </w:pPr>
      <w:r>
        <w:rPr/>
        <w:t>The most expedient and direct way to address the air quality problems would be to create a “Clean Air Fund” of some type that developers could pay into to offset the impacts of their project.  The state or localities would then be responsible for funding projects that improve air quality.  These could range from cleaning up mobile sources to energy conservation measures.  As stated above in the Otay Mesa project, mobile sources have already been used to offset power generation emissions in limited instances; and several states have created energy efficiency set-asides as part of their NOx SIP trading programs.  In fact, one of SCAQMD’s recommended actions for stabilizing RECLAIM prices was to obtain EPA and CARB approval for alternate offsets from mobile source and area source credits.  Furthermore, they highlight that the Air Quality Investment Program in their district has been successfully utilized for emissions equivalency in lieu of employer rideshare plans.</w:t>
      </w:r>
    </w:p>
    <w:p>
      <w:pPr>
        <w:pStyle w:val="Normal"/>
        <w:numPr>
          <w:ilvl w:val="0"/>
          <w:numId w:val="2"/>
        </w:numPr>
        <w:rPr/>
      </w:pPr>
      <w:r>
        <w:rPr/>
        <w:t>Another critical, yet more politically challenging fix, would be to move CA to a more regional emissions management approach.  The US EPA, in development of its Acid Rain and NOx trading programs, has already recognized that air pollution from power plants and other large industrial sources is transported regionally.  An approach that allows trading within a northern, central, and southern region would alleviate many of the cumbersome and time consuming issues facing developers.</w:t>
      </w:r>
    </w:p>
    <w:p>
      <w:pPr>
        <w:pStyle w:val="Normal"/>
        <w:numPr>
          <w:ilvl w:val="0"/>
          <w:numId w:val="2"/>
        </w:numPr>
        <w:rPr/>
      </w:pPr>
      <w:r>
        <w:rPr/>
        <w:t xml:space="preserve">At a minimum, the state needs to define and mandate the standards for interpollutant and interbasin trading.  Currently, the ratios for interpollutant trading and requirements for interbasin trading are negotiated on a one by one basis adding to the costs and time of developing a project.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2001-01-29T02:12:00Z</dcterms:created>
  <dc:creator>Mary Schoen</dc:creator>
  <dc:description/>
  <dc:language>en-CA</dc:language>
  <cp:lastModifiedBy>Mary Schoen</cp:lastModifiedBy>
  <dcterms:modified xsi:type="dcterms:W3CDTF">2001-01-30T02:19:00Z</dcterms:modified>
  <cp:revision>37</cp:revision>
  <dc:subject/>
  <dc:title>This memo focuses purely on the issues surrounding air quality regulations in California that are creating difficulties for po</dc:title>
</cp:coreProperties>
</file>