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November 11, 1998</w:t>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both"/>
        <w:rPr>
          <w:sz w:val="22"/>
        </w:rPr>
      </w:pPr>
      <w:r>
        <w:rPr>
          <w:sz w:val="22"/>
        </w:rPr>
        <w:t>Cemex Central, S.A. de C.V</w:t>
      </w:r>
    </w:p>
    <w:p>
      <w:pPr>
        <w:pStyle w:val="Normal"/>
        <w:jc w:val="both"/>
        <w:rPr>
          <w:sz w:val="22"/>
        </w:rPr>
      </w:pPr>
      <w:r>
        <w:rPr>
          <w:sz w:val="22"/>
        </w:rPr>
        <w:t>Avda. Constitución 444 Pte.</w:t>
      </w:r>
    </w:p>
    <w:p>
      <w:pPr>
        <w:pStyle w:val="Normal"/>
        <w:jc w:val="both"/>
        <w:rPr>
          <w:sz w:val="22"/>
        </w:rPr>
      </w:pPr>
      <w:r>
        <w:rPr>
          <w:sz w:val="22"/>
        </w:rPr>
        <w:t xml:space="preserve">64000 Monterrey, N. L.  </w:t>
      </w:r>
    </w:p>
    <w:p>
      <w:pPr>
        <w:pStyle w:val="Normal"/>
        <w:jc w:val="both"/>
        <w:rPr>
          <w:sz w:val="22"/>
        </w:rPr>
      </w:pPr>
      <w:r>
        <w:rPr>
          <w:sz w:val="22"/>
        </w:rPr>
        <w:t>MEXICO</w:t>
      </w:r>
    </w:p>
    <w:p>
      <w:pPr>
        <w:pStyle w:val="Normal"/>
        <w:jc w:val="both"/>
        <w:rPr>
          <w:sz w:val="22"/>
        </w:rPr>
      </w:pPr>
      <w:r>
        <w:rPr>
          <w:sz w:val="22"/>
        </w:rPr>
      </w:r>
    </w:p>
    <w:p>
      <w:pPr>
        <w:pStyle w:val="Normal"/>
        <w:jc w:val="both"/>
        <w:rPr>
          <w:sz w:val="22"/>
        </w:rPr>
      </w:pPr>
      <w:r>
        <w:rPr>
          <w:sz w:val="22"/>
        </w:rPr>
        <w:t>Gentlemen:</w:t>
      </w:r>
    </w:p>
    <w:p>
      <w:pPr>
        <w:pStyle w:val="Normal"/>
        <w:jc w:val="both"/>
        <w:rPr>
          <w:sz w:val="22"/>
        </w:rPr>
      </w:pPr>
      <w:r>
        <w:rPr>
          <w:sz w:val="22"/>
        </w:rPr>
      </w:r>
    </w:p>
    <w:p>
      <w:pPr>
        <w:pStyle w:val="Normal"/>
        <w:spacing w:before="0" w:after="120"/>
        <w:ind w:firstLine="720" w:end="0"/>
        <w:jc w:val="both"/>
        <w:rPr>
          <w:sz w:val="22"/>
        </w:rPr>
      </w:pPr>
      <w:r>
        <w:rPr>
          <w:sz w:val="22"/>
        </w:rPr>
        <w:t xml:space="preserve">Enron Capital &amp; Trade Resources Corp. (the "Protected Party") is prepared to furnish you with certain information which is either confidential, proprietary or otherwise not generally available to the public. </w:t>
      </w:r>
    </w:p>
    <w:p>
      <w:pPr>
        <w:pStyle w:val="Normal"/>
        <w:spacing w:before="0" w:after="120"/>
        <w:ind w:firstLine="720" w:end="0"/>
        <w:jc w:val="both"/>
        <w:rPr>
          <w:sz w:val="22"/>
        </w:rPr>
      </w:pPr>
      <w:r>
        <w:rPr>
          <w:sz w:val="22"/>
        </w:rPr>
        <w:t>As a condition to furnishing you such information, you agree as follows:</w:t>
      </w:r>
    </w:p>
    <w:p>
      <w:pPr>
        <w:pStyle w:val="Normal"/>
        <w:numPr>
          <w:ilvl w:val="0"/>
          <w:numId w:val="2"/>
        </w:numPr>
        <w:ind w:firstLine="720" w:start="0" w:end="0"/>
        <w:jc w:val="both"/>
        <w:rPr>
          <w:sz w:val="22"/>
        </w:rPr>
      </w:pPr>
      <w:r>
        <w:rPr>
          <w:sz w:val="22"/>
          <w:u w:val="single"/>
        </w:rPr>
        <w:t>Nondisclosure of Confidential Information</w:t>
      </w:r>
      <w:r>
        <w:rPr>
          <w:sz w:val="22"/>
        </w:rPr>
        <w:t>.  For a period of two years from the date of this agreement (this "Agreement"), you shall not disclose the Confidential Information (as defined in Section 3) to any person other than those of your directors, officers, employees, lenders, counsel, representatives and affiliates, if any (collectively, the "Representatives") who need to know the Confidential Information.  It is understood that (i) such Representatives shall be informed by you of the confidential nature of the Confidential Information and the requirement that it not be used other than for the purposes described above, (ii) such Representatives shall be required to agree to and be bound by the terms of this Agreement as a condition of receiving the Confidential Information and (iii) in any event, you shall be responsible for any breach of this Agreement by any of your Representatives.  You will safeguard the Confidential Information from unauthorized disclosure.  The term "person" as used in this Agreement shall be broadly interpreted to include, without limitation, any corporation, company, partnership, individual or other entity.</w:t>
      </w:r>
    </w:p>
    <w:p>
      <w:pPr>
        <w:pStyle w:val="Normal"/>
        <w:ind w:firstLine="720" w:end="0"/>
        <w:jc w:val="both"/>
        <w:rPr>
          <w:sz w:val="22"/>
        </w:rPr>
      </w:pPr>
      <w:r>
        <w:rPr>
          <w:sz w:val="22"/>
        </w:rPr>
      </w:r>
    </w:p>
    <w:p>
      <w:pPr>
        <w:pStyle w:val="Normal"/>
        <w:numPr>
          <w:ilvl w:val="0"/>
          <w:numId w:val="7"/>
        </w:numPr>
        <w:ind w:firstLine="720" w:start="0" w:end="0"/>
        <w:jc w:val="both"/>
        <w:rPr>
          <w:sz w:val="22"/>
        </w:rPr>
      </w:pPr>
      <w:r>
        <w:rPr>
          <w:sz w:val="22"/>
          <w:u w:val="single"/>
        </w:rPr>
        <w:t>Notice Preceding Compelled Disclosure</w:t>
      </w:r>
      <w:r>
        <w:rPr>
          <w:sz w:val="22"/>
        </w:rPr>
        <w:t>.  If you or your Representatives are requested or required (by oral question, interrogatories, requests for information or documents, subpoena, civil investigative demand or similar process) to disclose any Confidential Information, you will promptly notify the Protected Party of such request or requirement so that the Protected Party may seek an appropriate protective order or waiver in compliance with provisions of this Agreement.  If, in the absence of a protective order or the receipt of a waiver hereunder, you or your Representatives are, in the written opinion of your counsel addressed to the Protected Party, compelled to disclose the Confidential Information or else stand liable for contempt or suffer other censure or significant penalty, you may disclose only such of the Confidential Information to the party compelling disclosure as is required by law. You will exercise your best efforts to obtain a protective order or other reliable assurance that confidential treatment will be accorded the Confidential Information.</w:t>
      </w:r>
    </w:p>
    <w:p>
      <w:pPr>
        <w:pStyle w:val="Normal"/>
        <w:ind w:firstLine="720" w:end="0"/>
        <w:jc w:val="both"/>
        <w:rPr>
          <w:sz w:val="22"/>
        </w:rPr>
      </w:pPr>
      <w:r>
        <w:rPr>
          <w:sz w:val="22"/>
        </w:rPr>
      </w:r>
    </w:p>
    <w:p>
      <w:pPr>
        <w:pStyle w:val="Normal"/>
        <w:numPr>
          <w:ilvl w:val="0"/>
          <w:numId w:val="3"/>
        </w:numPr>
        <w:ind w:firstLine="720" w:start="0" w:end="0"/>
        <w:jc w:val="both"/>
        <w:rPr>
          <w:sz w:val="22"/>
        </w:rPr>
      </w:pPr>
      <w:r>
        <w:rPr>
          <w:sz w:val="22"/>
          <w:u w:val="single"/>
        </w:rPr>
        <w:t>Definition of "Confidential Information"</w:t>
      </w:r>
      <w:r>
        <w:rPr>
          <w:sz w:val="22"/>
        </w:rPr>
        <w:t>.  As used herein, "Confidential Information" means all information that is furnished to you or your Representatives by the Protected Party that concerns the Protected Party, its affiliates or subsidiaries, and that is either confidential, proprietary or otherwise not generally available to the public.  Any information furnished to you or your Representatives by a director, officer, employee or representative of the Protected Party shall be deemed for the purpose of this Agreement furnished by the Protected Party.  Notwithstanding the foregoing, the following will not constitute Confidential Information for purposes of this Agreement:  (a) information that is or becomes generally available to the public other than as a result of a disclosure by you or your Representatives, (b) information that was already in your files on a nonconfidential basis prior to being furnished to you by the Protected Party or (c) information that becomes available to you on a nonconfidential basis from a source other than the Protected Party if such source, to the best of your knowledge, was not subject to any prohibition against transmitting the information to you.</w:t>
      </w:r>
    </w:p>
    <w:p>
      <w:pPr>
        <w:pStyle w:val="Normal"/>
        <w:ind w:firstLine="720" w:end="0"/>
        <w:jc w:val="both"/>
        <w:rPr>
          <w:sz w:val="22"/>
        </w:rPr>
      </w:pPr>
      <w:r>
        <w:rPr>
          <w:sz w:val="22"/>
        </w:rPr>
      </w:r>
    </w:p>
    <w:p>
      <w:pPr>
        <w:pStyle w:val="Normal"/>
        <w:numPr>
          <w:ilvl w:val="0"/>
          <w:numId w:val="6"/>
        </w:numPr>
        <w:ind w:firstLine="720" w:start="0" w:end="0"/>
        <w:jc w:val="both"/>
        <w:rPr>
          <w:sz w:val="22"/>
        </w:rPr>
      </w:pPr>
      <w:r>
        <w:rPr>
          <w:sz w:val="22"/>
          <w:u w:val="single"/>
        </w:rPr>
        <w:t>Return of Information</w:t>
      </w:r>
      <w:r>
        <w:rPr>
          <w:sz w:val="22"/>
        </w:rPr>
        <w:t>.  You shall keep a record of the Confidential Information furnished to you and of the location of such Confidential Information.  The written Confidential Information, except for that portion of the Confidential Information that may be found in analyses, compilations, studies or other documents prepared by or for you, will be returned to the Protected Party immediately upon the Protected Party’s request,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ind w:firstLine="720" w:end="0"/>
        <w:jc w:val="both"/>
        <w:rPr>
          <w:sz w:val="22"/>
        </w:rPr>
      </w:pPr>
      <w:r>
        <w:rPr>
          <w:sz w:val="22"/>
        </w:rPr>
      </w:r>
    </w:p>
    <w:p>
      <w:pPr>
        <w:pStyle w:val="Normal"/>
        <w:numPr>
          <w:ilvl w:val="0"/>
          <w:numId w:val="4"/>
        </w:numPr>
        <w:ind w:firstLine="720" w:start="0" w:end="0"/>
        <w:jc w:val="both"/>
        <w:rPr>
          <w:sz w:val="22"/>
        </w:rPr>
      </w:pPr>
      <w:r>
        <w:rPr>
          <w:sz w:val="22"/>
          <w:u w:val="single"/>
        </w:rPr>
        <w:t>No Warranty of Accuracy</w:t>
      </w:r>
      <w:r>
        <w:rPr>
          <w:sz w:val="22"/>
        </w:rPr>
        <w:t>.  You acknowledge that, except as otherwise agreed to in writing, the Protected Party does not make any representation or warranty as to the accuracy or completeness of any information that is so provided, and neither the Protected Party nor any Representative of the Protected Party shall have any liability to you or your Representatives resulting from the use of such information by you or your Representatives.  For the purposes of this Section 6, "information" is deemed to include all information furnished by the Protected Party to you or your Representatives, whether or not Confidential Information as defined by Section 4.</w:t>
      </w:r>
    </w:p>
    <w:p>
      <w:pPr>
        <w:pStyle w:val="Normal"/>
        <w:ind w:firstLine="720" w:end="0"/>
        <w:jc w:val="both"/>
        <w:rPr>
          <w:sz w:val="22"/>
        </w:rPr>
      </w:pPr>
      <w:r>
        <w:rPr>
          <w:sz w:val="22"/>
        </w:rPr>
      </w:r>
    </w:p>
    <w:p>
      <w:pPr>
        <w:pStyle w:val="Normal"/>
        <w:numPr>
          <w:ilvl w:val="0"/>
          <w:numId w:val="5"/>
        </w:numPr>
        <w:ind w:firstLine="720" w:start="0" w:end="0"/>
        <w:jc w:val="both"/>
        <w:rPr>
          <w:sz w:val="22"/>
        </w:rPr>
      </w:pPr>
      <w:r>
        <w:rPr>
          <w:sz w:val="22"/>
          <w:u w:val="single"/>
        </w:rPr>
        <w:t>Disclaimer of Fiduciary Relationship.</w:t>
      </w:r>
      <w:r>
        <w:rPr>
          <w:sz w:val="22"/>
        </w:rPr>
        <w:t xml:space="preserve">  You and Protected Party agree that no employment, agency, joint venture, partnership or fiduciary relationship shall be deemed to exist or arise by virtue of the disclosure of Confidential Information hereunder or the execution by the Parties of this Agreement.</w:t>
      </w:r>
    </w:p>
    <w:p>
      <w:pPr>
        <w:pStyle w:val="Normal"/>
        <w:jc w:val="both"/>
        <w:rPr>
          <w:sz w:val="22"/>
        </w:rPr>
      </w:pPr>
      <w:r>
        <w:rPr>
          <w:sz w:val="22"/>
        </w:rPr>
      </w:r>
    </w:p>
    <w:p>
      <w:pPr>
        <w:pStyle w:val="Normal"/>
        <w:ind w:firstLine="720" w:end="0"/>
        <w:jc w:val="both"/>
        <w:rPr/>
      </w:pPr>
      <w:r>
        <w:rPr>
          <w:sz w:val="22"/>
        </w:rPr>
        <w:t>7.</w:t>
        <w:tab/>
      </w:r>
      <w:r>
        <w:rPr>
          <w:sz w:val="22"/>
          <w:u w:val="single"/>
        </w:rPr>
        <w:t>No Waiver</w:t>
      </w:r>
      <w:r>
        <w:rPr>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ind w:firstLine="720" w:end="0"/>
        <w:jc w:val="both"/>
        <w:rPr>
          <w:sz w:val="22"/>
        </w:rPr>
      </w:pPr>
      <w:r>
        <w:rPr>
          <w:sz w:val="22"/>
        </w:rPr>
      </w:r>
    </w:p>
    <w:p>
      <w:pPr>
        <w:pStyle w:val="Normal"/>
        <w:spacing w:before="0" w:after="240"/>
        <w:ind w:firstLine="720" w:end="0"/>
        <w:jc w:val="both"/>
        <w:rPr/>
      </w:pPr>
      <w:r>
        <w:rPr>
          <w:sz w:val="22"/>
        </w:rPr>
        <w:t>8.</w:t>
        <w:tab/>
      </w:r>
      <w:r>
        <w:rPr>
          <w:sz w:val="22"/>
          <w:u w:val="single"/>
        </w:rPr>
        <w:t>Remedies, Jurisdiction, Arbitration and Governing Law</w:t>
      </w:r>
      <w:r>
        <w:rPr>
          <w:sz w:val="22"/>
        </w:rPr>
        <w:t>.  Money damages would not be a sufficient remedy for any breach of this Agreement by you or your Representatives, and the Protected Party shall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the Protected Party.  You consent to personal jurisdiction in any action brought in any court, federal or state, within the State of Texas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whether sounding in contract, tort or otherwise, shall be resolved by arbitration pursuant to the rules of arbitration of the American Arbitration Association ("AAA").  There shall be three arbitrators. Each party shall designate an arbitrator.  The two arbitrators so designated shall elect a third arbitrator.   The arbitration shall take place in Houston, Texas and shall be conducted in the English language.  The arbitration decision shall be final and binding upon the parties and judgment upon the award shall be entered in any court having jurisdiction over the party against which enforcement is sought.</w:t>
      </w:r>
    </w:p>
    <w:p>
      <w:pPr>
        <w:pStyle w:val="Normal"/>
        <w:spacing w:before="0" w:after="240"/>
        <w:ind w:firstLine="720" w:end="0"/>
        <w:jc w:val="both"/>
        <w:rPr/>
      </w:pPr>
      <w:r>
        <w:rPr>
          <w:sz w:val="22"/>
        </w:rPr>
        <w:t>9.</w:t>
        <w:tab/>
      </w:r>
      <w:r>
        <w:rPr>
          <w:sz w:val="22"/>
          <w:u w:val="single"/>
        </w:rPr>
        <w:t>Severability</w:t>
      </w:r>
      <w:r>
        <w:rPr>
          <w:sz w:val="22"/>
        </w:rPr>
        <w:t>.  If any term, provision or covenant or the application thereof to any person or circumstances shall, to any extent, be construed to be invalid or unenforceable in whole or in part, then such term provision or covenant shall be construed in a manner as to permit its enforceability under the applicable law to the fullest extent permitted by law.  In any case, the remaining provisions of this Agreement or the application thereof to any person or circumstances, other than those to which they have been held invalid or unenforceable, shall remain in full force and effect.</w:t>
      </w:r>
    </w:p>
    <w:p>
      <w:pPr>
        <w:pStyle w:val="Normal"/>
        <w:ind w:start="5040" w:end="0"/>
        <w:jc w:val="both"/>
        <w:rPr>
          <w:sz w:val="22"/>
        </w:rPr>
      </w:pPr>
      <w:r>
        <w:rPr>
          <w:sz w:val="22"/>
        </w:rPr>
        <w:t>Very truly yours,</w:t>
      </w:r>
    </w:p>
    <w:p>
      <w:pPr>
        <w:pStyle w:val="Normal"/>
        <w:ind w:start="5040" w:end="0"/>
        <w:jc w:val="both"/>
        <w:rPr>
          <w:sz w:val="22"/>
        </w:rPr>
      </w:pPr>
      <w:r>
        <w:rPr>
          <w:sz w:val="22"/>
        </w:rPr>
      </w:r>
    </w:p>
    <w:p>
      <w:pPr>
        <w:pStyle w:val="Normal"/>
        <w:tabs>
          <w:tab w:val="clear" w:pos="720"/>
          <w:tab w:val="left" w:pos="9360" w:leader="none"/>
        </w:tabs>
        <w:ind w:start="5040" w:end="0"/>
        <w:jc w:val="both"/>
        <w:rPr>
          <w:sz w:val="22"/>
        </w:rPr>
      </w:pPr>
      <w:r>
        <w:rPr>
          <w:sz w:val="22"/>
        </w:rPr>
        <w:t xml:space="preserve">ENRON CAPITAL &amp; TRADE RESOURCES CORP.  </w:t>
      </w:r>
    </w:p>
    <w:p>
      <w:pPr>
        <w:pStyle w:val="Normal"/>
        <w:tabs>
          <w:tab w:val="clear" w:pos="720"/>
          <w:tab w:val="left" w:pos="9360" w:leader="none"/>
        </w:tabs>
        <w:ind w:start="5040" w:end="0"/>
        <w:jc w:val="both"/>
        <w:rPr>
          <w:sz w:val="22"/>
        </w:rPr>
      </w:pPr>
      <w:r>
        <w:rPr>
          <w:sz w:val="22"/>
        </w:rPr>
      </w:r>
    </w:p>
    <w:p>
      <w:pPr>
        <w:pStyle w:val="Normal"/>
        <w:tabs>
          <w:tab w:val="clear" w:pos="720"/>
          <w:tab w:val="left" w:pos="4320" w:leader="none"/>
          <w:tab w:val="left" w:pos="9360" w:leader="none"/>
        </w:tabs>
        <w:spacing w:before="0" w:after="120"/>
        <w:ind w:firstLine="5126" w:end="-1440"/>
        <w:jc w:val="both"/>
        <w:rPr>
          <w:sz w:val="22"/>
        </w:rPr>
      </w:pPr>
      <w:r>
        <w:rPr>
          <w:sz w:val="22"/>
        </w:rPr>
        <w:t xml:space="preserve">By: </w:t>
      </w:r>
      <w:r>
        <w:rPr>
          <w:sz w:val="22"/>
          <w:u w:val="single"/>
        </w:rPr>
        <w:tab/>
      </w:r>
    </w:p>
    <w:p>
      <w:pPr>
        <w:pStyle w:val="Normal"/>
        <w:tabs>
          <w:tab w:val="clear" w:pos="720"/>
          <w:tab w:val="left" w:pos="4320" w:leader="none"/>
          <w:tab w:val="left" w:pos="9360" w:leader="none"/>
        </w:tabs>
        <w:ind w:firstLine="5126" w:end="-1440"/>
        <w:jc w:val="both"/>
        <w:rPr>
          <w:sz w:val="22"/>
        </w:rPr>
      </w:pPr>
      <w:r>
        <w:rPr>
          <w:sz w:val="22"/>
        </w:rPr>
        <w:t>Name: Mario Max Yzaguirre</w:t>
      </w:r>
    </w:p>
    <w:p>
      <w:pPr>
        <w:pStyle w:val="Normal"/>
        <w:tabs>
          <w:tab w:val="clear" w:pos="720"/>
          <w:tab w:val="left" w:pos="4320" w:leader="none"/>
          <w:tab w:val="left" w:pos="9360" w:leader="none"/>
        </w:tabs>
        <w:ind w:firstLine="5126" w:end="-1440"/>
        <w:jc w:val="both"/>
        <w:rPr>
          <w:sz w:val="22"/>
        </w:rPr>
      </w:pPr>
      <w:r>
        <w:rPr>
          <w:sz w:val="22"/>
        </w:rPr>
        <w:t>Title:   Vice President</w:t>
      </w:r>
    </w:p>
    <w:p>
      <w:pPr>
        <w:pStyle w:val="Normal"/>
        <w:jc w:val="both"/>
        <w:rPr>
          <w:sz w:val="22"/>
        </w:rPr>
      </w:pPr>
      <w:r>
        <w:rPr>
          <w:sz w:val="22"/>
        </w:rPr>
      </w:r>
    </w:p>
    <w:p>
      <w:pPr>
        <w:pStyle w:val="Normal"/>
        <w:keepNext w:val="true"/>
        <w:spacing w:before="0" w:after="120"/>
        <w:jc w:val="both"/>
        <w:rPr>
          <w:sz w:val="22"/>
        </w:rPr>
      </w:pPr>
      <w:r>
        <w:rPr>
          <w:sz w:val="22"/>
        </w:rPr>
        <w:t>Agreed and accepted as of</w:t>
      </w:r>
    </w:p>
    <w:p>
      <w:pPr>
        <w:pStyle w:val="Normal"/>
        <w:keepNext w:val="true"/>
        <w:spacing w:before="0" w:after="120"/>
        <w:jc w:val="both"/>
        <w:rPr>
          <w:sz w:val="22"/>
        </w:rPr>
      </w:pPr>
      <w:r>
        <w:rPr>
          <w:sz w:val="22"/>
        </w:rPr>
        <w:t>the date first written above:</w:t>
      </w:r>
    </w:p>
    <w:p>
      <w:pPr>
        <w:pStyle w:val="Normal"/>
        <w:keepNext w:val="true"/>
        <w:spacing w:before="0" w:after="120"/>
        <w:jc w:val="both"/>
        <w:rPr>
          <w:sz w:val="22"/>
        </w:rPr>
      </w:pPr>
      <w:r>
        <w:rPr>
          <w:sz w:val="22"/>
        </w:rPr>
      </w:r>
    </w:p>
    <w:p>
      <w:pPr>
        <w:pStyle w:val="Normal"/>
        <w:keepNext w:val="true"/>
        <w:tabs>
          <w:tab w:val="clear" w:pos="720"/>
          <w:tab w:val="left" w:pos="4320" w:leader="none"/>
        </w:tabs>
        <w:spacing w:before="0" w:after="120"/>
        <w:jc w:val="both"/>
        <w:rPr>
          <w:sz w:val="22"/>
        </w:rPr>
      </w:pPr>
      <w:r>
        <w:rPr>
          <w:sz w:val="22"/>
        </w:rPr>
        <w:t>Cemex Central, S.A. de C.V.</w:t>
      </w:r>
    </w:p>
    <w:p>
      <w:pPr>
        <w:pStyle w:val="Normal"/>
        <w:keepNext w:val="true"/>
        <w:tabs>
          <w:tab w:val="left" w:pos="720" w:leader="none"/>
          <w:tab w:val="left" w:pos="1440" w:leader="none"/>
          <w:tab w:val="left" w:pos="2160" w:leader="none"/>
          <w:tab w:val="right" w:pos="9360" w:leader="none"/>
        </w:tabs>
        <w:spacing w:before="0" w:after="120"/>
        <w:jc w:val="both"/>
        <w:rPr>
          <w:sz w:val="22"/>
        </w:rPr>
      </w:pPr>
      <w:r>
        <w:rPr>
          <w:sz w:val="22"/>
        </w:rPr>
      </w:r>
    </w:p>
    <w:p>
      <w:pPr>
        <w:pStyle w:val="Normal"/>
        <w:keepNext w:val="true"/>
        <w:tabs>
          <w:tab w:val="clear" w:pos="720"/>
          <w:tab w:val="left" w:pos="4320" w:leader="none"/>
        </w:tabs>
        <w:spacing w:before="0" w:after="120"/>
        <w:jc w:val="both"/>
        <w:rPr>
          <w:sz w:val="22"/>
        </w:rPr>
      </w:pPr>
      <w:r>
        <w:rPr>
          <w:sz w:val="22"/>
        </w:rPr>
        <w:t xml:space="preserve">By: </w:t>
      </w:r>
      <w:r>
        <w:rPr>
          <w:sz w:val="22"/>
          <w:u w:val="single"/>
        </w:rPr>
        <w:tab/>
      </w:r>
    </w:p>
    <w:p>
      <w:pPr>
        <w:pStyle w:val="Normal"/>
        <w:keepNext w:val="true"/>
        <w:tabs>
          <w:tab w:val="clear" w:pos="720"/>
          <w:tab w:val="left" w:pos="4320" w:leader="none"/>
        </w:tabs>
        <w:spacing w:before="0" w:after="120"/>
        <w:jc w:val="both"/>
        <w:rPr>
          <w:sz w:val="22"/>
        </w:rPr>
      </w:pPr>
      <w:r>
        <w:rPr>
          <w:sz w:val="22"/>
        </w:rPr>
        <w:t>Name:    Luis Farias</w:t>
      </w:r>
    </w:p>
    <w:p>
      <w:pPr>
        <w:pStyle w:val="Normal"/>
        <w:keepNext w:val="true"/>
        <w:tabs>
          <w:tab w:val="clear" w:pos="720"/>
          <w:tab w:val="left" w:pos="4320" w:leader="none"/>
        </w:tabs>
        <w:spacing w:before="0" w:after="120"/>
        <w:jc w:val="both"/>
        <w:rPr>
          <w:sz w:val="22"/>
        </w:rPr>
      </w:pPr>
      <w:r>
        <w:rPr>
          <w:sz w:val="22"/>
        </w:rPr>
        <w:t>Title:</w:t>
      </w:r>
      <w:r>
        <w:rPr>
          <w:sz w:val="22"/>
          <w:u w:val="single"/>
        </w:rPr>
        <w:tab/>
      </w:r>
    </w:p>
    <w:p>
      <w:pPr>
        <w:pStyle w:val="Normal"/>
        <w:keepNext w:val="true"/>
        <w:spacing w:before="0" w:after="120"/>
        <w:jc w:val="both"/>
        <w:rPr>
          <w:sz w:val="22"/>
        </w:rPr>
      </w:pPr>
      <w:r>
        <w:rPr>
          <w:sz w:val="22"/>
        </w:rPr>
      </w:r>
    </w:p>
    <w:sectPr>
      <w:headerReference w:type="default" r:id="rId2"/>
      <w:headerReference w:type="first" r:id="rId3"/>
      <w:footerReference w:type="default" r:id="rId4"/>
      <w:footerReference w:type="first" r:id="rId5"/>
      <w:type w:val="nextPage"/>
      <w:pgSz w:w="12240" w:h="15840"/>
      <w:pgMar w:left="1440" w:right="1440" w:gutter="0" w:header="709" w:top="1267" w:footer="709"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O:legal\pbanczak\forms\</w:t>
    </w:r>
    <w:r>
      <w:rPr>
        <w:sz w:val="16"/>
      </w:rPr>
      <w:fldChar w:fldCharType="begin"/>
    </w:r>
    <w:r>
      <w:rPr>
        <w:sz w:val="16"/>
      </w:rPr>
      <w:instrText xml:space="preserve"> FILENAME </w:instrText>
    </w:r>
    <w:r>
      <w:rPr>
        <w:sz w:val="16"/>
      </w:rPr>
      <w:fldChar w:fldCharType="separate"/>
    </w:r>
    <w:r>
      <w:rPr>
        <w:sz w:val="16"/>
      </w:rPr>
      <w:t>CA___Cemex2.doc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t>Cemex Central, S.A. de C.V.</w:t>
    </w:r>
  </w:p>
  <w:p>
    <w:pPr>
      <w:pStyle w:val="Header"/>
      <w:rPr>
        <w:sz w:val="24"/>
      </w:rPr>
    </w:pPr>
    <w:r>
      <w:rPr>
        <w:sz w:val="24"/>
      </w:rPr>
      <w:t>November 11, 1998</w:t>
    </w:r>
  </w:p>
  <w:p>
    <w:pPr>
      <w:pStyle w:val="Header"/>
      <w:rPr/>
    </w:pPr>
    <w:r>
      <w:rPr>
        <w:sz w:val="24"/>
      </w:rPr>
      <w:t xml:space="preserve">Page - </w:t>
    </w:r>
    <w:r>
      <w:rPr>
        <w:sz w:val="24"/>
      </w:rPr>
      <w:fldChar w:fldCharType="begin"/>
    </w:r>
    <w:r>
      <w:rPr>
        <w:sz w:val="24"/>
      </w:rPr>
      <w:instrText xml:space="preserve"> PAGE </w:instrText>
    </w:r>
    <w:r>
      <w:rPr>
        <w:sz w:val="24"/>
      </w:rPr>
      <w:fldChar w:fldCharType="separate"/>
    </w:r>
    <w:r>
      <w:rPr>
        <w:sz w:val="24"/>
      </w:rPr>
      <w:t>3</w:t>
    </w:r>
    <w:r>
      <w:rPr>
        <w:sz w:val="24"/>
      </w:rPr>
      <w:fldChar w:fldCharType="end"/>
    </w:r>
    <w:r>
      <w:rPr>
        <w:sz w:val="24"/>
      </w:rPr>
      <w:t xml:space="preserve"> -</w:t>
    </w:r>
  </w:p>
  <w:p>
    <w:pPr>
      <w:pStyle w:val="Header"/>
      <w:rPr>
        <w:sz w:val="24"/>
      </w:rPr>
    </w:pPr>
    <w:r>
      <w:rPr>
        <w:sz w:val="24"/>
      </w:rPr>
    </w:r>
  </w:p>
  <w:p>
    <w:pPr>
      <w:pStyle w:val="Header"/>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abstractNum w:abstractNumId="3">
    <w:lvl w:ilvl="0">
      <w:start w:val="3"/>
      <w:numFmt w:val="decimal"/>
      <w:lvlText w:val="%1."/>
      <w:lvlJc w:val="start"/>
      <w:pPr>
        <w:tabs>
          <w:tab w:val="num" w:pos="720"/>
        </w:tabs>
        <w:ind w:start="0" w:hanging="0"/>
      </w:pPr>
    </w:lvl>
  </w:abstractNum>
  <w:abstractNum w:abstractNumId="4">
    <w:lvl w:ilvl="0">
      <w:start w:val="5"/>
      <w:numFmt w:val="decimal"/>
      <w:lvlText w:val="%1."/>
      <w:lvlJc w:val="start"/>
      <w:pPr>
        <w:tabs>
          <w:tab w:val="num" w:pos="720"/>
        </w:tabs>
        <w:ind w:start="0" w:hanging="0"/>
      </w:pPr>
    </w:lvl>
  </w:abstractNum>
  <w:abstractNum w:abstractNumId="5">
    <w:lvl w:ilvl="0">
      <w:start w:val="6"/>
      <w:numFmt w:val="decimal"/>
      <w:lvlText w:val="%1."/>
      <w:lvlJc w:val="start"/>
      <w:pPr>
        <w:tabs>
          <w:tab w:val="num" w:pos="720"/>
        </w:tabs>
        <w:ind w:start="0" w:hanging="0"/>
      </w:pPr>
    </w:lvl>
  </w:abstractNum>
  <w:abstractNum w:abstractNumId="6">
    <w:lvl w:ilvl="0">
      <w:start w:val="4"/>
      <w:numFmt w:val="decimal"/>
      <w:lvlText w:val="%1."/>
      <w:lvlJc w:val="start"/>
      <w:pPr>
        <w:tabs>
          <w:tab w:val="num" w:pos="720"/>
        </w:tabs>
        <w:ind w:start="0" w:hanging="0"/>
      </w:pPr>
    </w:lvl>
  </w:abstractNum>
  <w:abstractNum w:abstractNumId="7">
    <w:lvl w:ilvl="0">
      <w:start w:val="2"/>
      <w:numFmt w:val="decimal"/>
      <w:lvlText w:val="%1."/>
      <w:lvlJc w:val="start"/>
      <w:pPr>
        <w:tabs>
          <w:tab w:val="num" w:pos="72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1999-12-15T20:57:00Z</dcterms:created>
  <dc:creator>appinst</dc:creator>
  <dc:description/>
  <dc:language>en-CA</dc:language>
  <cp:lastModifiedBy>mtaylo1</cp:lastModifiedBy>
  <cp:lastPrinted>1998-11-10T12:32:00Z</cp:lastPrinted>
  <dcterms:modified xsi:type="dcterms:W3CDTF">1999-12-15T20:57:00Z</dcterms:modified>
  <cp:revision>2</cp:revision>
  <dc:subject/>
  <dc:title>Long Form Confidentiality Agreement</dc:title>
</cp:coreProperties>
</file>