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rFonts w:ascii="Times New Roman" w:hAnsi="Times New Roman" w:cs="Times New Roman"/>
          <w:sz w:val="22"/>
        </w:rPr>
      </w:pPr>
      <w:r>
        <w:rPr>
          <w:rFonts w:cs="Times New Roman" w:ascii="Times New Roman" w:hAnsi="Times New Roman"/>
          <w:sz w:val="22"/>
        </w:rPr>
        <w:t>February ______,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and [___________________________________________________]</w:t>
      </w:r>
    </w:p>
    <w:p>
      <w:pPr>
        <w:pStyle w:val="Normal"/>
        <w:ind w:hanging="720" w:start="1440" w:end="0"/>
        <w:rPr>
          <w:rFonts w:ascii="Times New Roman" w:hAnsi="Times New Roman" w:cs="Times New Roman"/>
          <w:b/>
          <w:sz w:val="22"/>
        </w:rPr>
      </w:pPr>
      <w:r>
        <w:rPr>
          <w:rFonts w:cs="Times New Roman" w:ascii="Times New Roman" w:hAnsi="Times New Roman"/>
          <w:b/>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(i) the potential sale of Protected Party's power plant development projects in _________________________________________; and (ii) the potential sale of Protected Party's natural gas fired electric generation projects (collectively, the “Projects”) for purposes of evaluating one or more transactions between Protected Party and [                                                                        ]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Proposed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 xml:space="preserve">("AAA").  </w:t>
      </w:r>
      <w:r>
        <w:rPr>
          <w:rFonts w:cs="Times New Roman" w:ascii="Times New Roman" w:hAnsi="Times New Roman"/>
          <w:sz w:val="22"/>
        </w:rPr>
        <w:t>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2001-02-14T18:18:00Z</dcterms:created>
  <dc:creator>m v</dc:creator>
  <dc:description/>
  <dc:language>en-CA</dc:language>
  <cp:lastModifiedBy>Kathleen Carnahan</cp:lastModifiedBy>
  <cp:lastPrinted>2001-02-09T14:24:00Z</cp:lastPrinted>
  <dcterms:modified xsi:type="dcterms:W3CDTF">2001-02-14T18:18:00Z</dcterms:modified>
  <cp:revision>2</cp:revision>
  <dc:subject/>
  <dc:title>10 Oct 97</dc:title>
</cp:coreProperties>
</file>