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 w:end="-504"/>
        <w:rPr>
          <w:sz w:val="30"/>
        </w:rPr>
      </w:pPr>
      <w:r>
        <w:rPr>
          <w:sz w:val="30"/>
        </w:rPr>
        <w:t xml:space="preserve">Direct Access Needed To Stimulate Competition </w:t>
      </w:r>
    </w:p>
    <w:p>
      <w:pPr>
        <w:pStyle w:val="BodyText"/>
        <w:ind w:start="-360" w:end="-504"/>
        <w:rPr>
          <w:sz w:val="30"/>
        </w:rPr>
      </w:pPr>
      <w:r>
        <w:rPr>
          <w:sz w:val="30"/>
        </w:rPr>
        <w:t>And Economic Stability in California</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A competitive retail market for electricity in California failed to materialize following passage of AB 1890, which restructured the marketplace.  Fewer than 2 percent of customers and less than 15 percent of the load switched to alternative service providers under the frozen rate schedule.</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Legislature effectively ended customers’ right to choose an Energy Service Provider (ESP) in California by passing AB X1, which gave the Public Utilities Commission the ability to suspend direct access at any time.  </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independent Market Monitoring Committee, which evaluates the activities of the California Independent System Operator, has determined that </w:t>
      </w:r>
      <w:r>
        <w:rPr>
          <w:rFonts w:cs="Times" w:ascii="Times" w:hAnsi="Times"/>
          <w:i/>
          <w:sz w:val="22"/>
        </w:rPr>
        <w:t>a well-functioning retail market is a key to lowering prices and improving the efficiency of the wholesale market</w:t>
      </w:r>
      <w:r>
        <w:rPr>
          <w:rFonts w:cs="Times" w:ascii="Times" w:hAnsi="Times"/>
          <w:sz w:val="22"/>
        </w:rPr>
        <w:t>.</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California’s retail market is not “well-functioning.”  Utilities are deeply in debt, the state is purchasing millions of dollars in power each day because the utilities cannot buy electricity on credit, and there is a shortage of supply that has led to rolling blackouts.</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state has not actively encouraged competition, and in fact, has </w:t>
      </w:r>
      <w:r>
        <w:rPr>
          <w:rFonts w:cs="Times" w:ascii="Times" w:hAnsi="Times"/>
          <w:i/>
          <w:sz w:val="22"/>
        </w:rPr>
        <w:t>discouraged</w:t>
      </w:r>
      <w:r>
        <w:rPr>
          <w:rFonts w:cs="Times" w:ascii="Times" w:hAnsi="Times"/>
          <w:sz w:val="22"/>
        </w:rPr>
        <w:t xml:space="preserve"> a competitive market by continuing to protect utility interests rather than address current flaws in the system and the long-term health of the marketplace.  As a result, ESPs have left the market since June, 2000 because of excessive wholesale price risks, utilities’ failure to pay their bills, and lack of a transparent utility price for retail service.</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A competitive, efficient marketplace requires many buyers and many sellers and a balance between supply and demand.  Giving a variety of ESPs access to the retail market to increase competition is crucial.</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Direct access is a catalyst for the development of a competitive marketplace.  Direct access: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Offers California businesses employing millions of people the opportunity to enter into competitive, long-term contracts that promote economic stability and reliable supply;</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Enhances conservation through energy-management and metering programs employed by ESPs;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Is essential to the long-term health of California’s economy, because it enables businesses that may otherwise face huge increases in energy costs to maintain operations in California.</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0" w:start="0" w:end="0"/>
        <w:rPr>
          <w:rFonts w:ascii="Times" w:hAnsi="Times" w:cs="Times"/>
          <w:sz w:val="22"/>
        </w:rPr>
      </w:pPr>
      <w:r>
        <w:rPr>
          <w:rFonts w:cs="Times" w:ascii="Times" w:hAnsi="Times"/>
          <w:sz w:val="22"/>
        </w:rPr>
        <w:t>Direct access reduces the amount of power that must be purchased by the state, which;</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Reduces the public debt;</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Saves money for taxpayers and ratepayers;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Helps uphold the state’s bond rating;</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Reduces the drain on the state budget and frees funds for schools and other vital public services.</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rPr>
      </w:pPr>
      <w:r>
        <w:rPr>
          <w:rFonts w:cs="Times" w:ascii="Times" w:hAnsi="Times"/>
          <w:sz w:val="22"/>
        </w:rPr>
        <w:t>Direct access is needed to give the marketplace a kick-start on its way to Legislature’s ultimate goal of a competitive market for electricity.  The provision in ABX 1 that suspends direct access must be repealed, and disincentives such as exit fees and other costs must be removed to encourage choice for Californians.</w:t>
      </w:r>
    </w:p>
    <w:p>
      <w:pPr>
        <w:pStyle w:val="Normal"/>
        <w:rPr>
          <w:rFonts w:ascii="Times" w:hAnsi="Times" w:cs="Times"/>
        </w:rPr>
      </w:pPr>
      <w:r>
        <w:rPr>
          <w:rFonts w:cs="Times" w:ascii="Times" w:hAnsi="Times"/>
        </w:rPr>
      </w:r>
    </w:p>
    <w:sectPr>
      <w:type w:val="nextPage"/>
      <w:pgSz w:w="12240" w:h="15840"/>
      <w:pgMar w:left="1440" w:right="144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2">
    <w:charset w:val="02"/>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2" w:hAnsi="Wingdings 2" w:cs="Monotype Corsiv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2001-04-02T18:16:00Z</dcterms:created>
  <dc:creator>Valued Sony Customer</dc:creator>
  <dc:description/>
  <dc:language>en-CA</dc:language>
  <cp:lastModifiedBy>jthome</cp:lastModifiedBy>
  <cp:lastPrinted>2001-03-29T10:05:00Z</cp:lastPrinted>
  <dcterms:modified xsi:type="dcterms:W3CDTF">2001-04-02T18:16:00Z</dcterms:modified>
  <cp:revision>2</cp:revision>
  <dc:subject/>
  <dc:title>How to Build a Retail Market</dc:title>
</cp:coreProperties>
</file>