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360" w:end="-504"/>
        <w:rPr>
          <w:sz w:val="30"/>
        </w:rPr>
      </w:pPr>
      <w:r>
        <w:rPr>
          <w:sz w:val="30"/>
        </w:rPr>
        <w:t xml:space="preserve">Talking Points in Response to CPUC Rate Increase </w:t>
      </w:r>
    </w:p>
    <w:p>
      <w:pPr>
        <w:pStyle w:val="Normal"/>
        <w:jc w:val="center"/>
        <w:rPr>
          <w:b/>
          <w:bCs/>
          <w:sz w:val="22"/>
        </w:rPr>
      </w:pPr>
      <w:r>
        <w:rPr>
          <w:b/>
          <w:bCs/>
          <w:sz w:val="22"/>
        </w:rPr>
      </w:r>
    </w:p>
    <w:p>
      <w:pPr>
        <w:pStyle w:val="Normal"/>
        <w:numPr>
          <w:ilvl w:val="0"/>
          <w:numId w:val="1"/>
        </w:numPr>
        <w:rPr>
          <w:sz w:val="22"/>
        </w:rPr>
      </w:pPr>
      <w:r>
        <w:rPr>
          <w:sz w:val="22"/>
        </w:rPr>
        <w:t>The California Public Utilities Commission (CPUC) has taken a necessary leadership role by recognizing that rate increases are a necessary and inevitable part of the solution to California’s energy crisis.</w:t>
      </w:r>
    </w:p>
    <w:p>
      <w:pPr>
        <w:pStyle w:val="Normal"/>
        <w:rPr>
          <w:sz w:val="22"/>
        </w:rPr>
      </w:pPr>
      <w:r>
        <w:rPr>
          <w:sz w:val="22"/>
        </w:rPr>
      </w:r>
    </w:p>
    <w:p>
      <w:pPr>
        <w:pStyle w:val="Normal"/>
        <w:numPr>
          <w:ilvl w:val="0"/>
          <w:numId w:val="1"/>
        </w:numPr>
        <w:rPr>
          <w:sz w:val="22"/>
        </w:rPr>
      </w:pPr>
      <w:r>
        <w:rPr>
          <w:sz w:val="22"/>
        </w:rPr>
        <w:t>Revenue generated by the increase will help fund the collection of all generation costs going forward – to the benefit of the California Department of Water Resources (CDWR), Qualifying Facilities (QFs – generally small power generating facilities including renewable resources), utilities, and ultimately customers.</w:t>
      </w:r>
    </w:p>
    <w:p>
      <w:pPr>
        <w:pStyle w:val="Normal"/>
        <w:rPr>
          <w:sz w:val="22"/>
        </w:rPr>
      </w:pPr>
      <w:r>
        <w:rPr>
          <w:sz w:val="22"/>
        </w:rPr>
      </w:r>
    </w:p>
    <w:p>
      <w:pPr>
        <w:pStyle w:val="Normal"/>
        <w:numPr>
          <w:ilvl w:val="0"/>
          <w:numId w:val="1"/>
        </w:numPr>
        <w:rPr>
          <w:sz w:val="22"/>
        </w:rPr>
      </w:pPr>
      <w:r>
        <w:rPr>
          <w:sz w:val="22"/>
        </w:rPr>
        <w:t>The CPUC’s action thus takes a decisive step toward ending the untenable political position that rate increases were not necessary.</w:t>
      </w:r>
    </w:p>
    <w:p>
      <w:pPr>
        <w:pStyle w:val="Normal"/>
        <w:rPr>
          <w:sz w:val="22"/>
        </w:rPr>
      </w:pPr>
      <w:r>
        <w:rPr>
          <w:sz w:val="22"/>
        </w:rPr>
      </w:r>
    </w:p>
    <w:p>
      <w:pPr>
        <w:pStyle w:val="Normal"/>
        <w:numPr>
          <w:ilvl w:val="0"/>
          <w:numId w:val="1"/>
        </w:numPr>
        <w:rPr>
          <w:sz w:val="22"/>
        </w:rPr>
      </w:pPr>
      <w:r>
        <w:rPr>
          <w:sz w:val="22"/>
        </w:rPr>
        <w:t>The CPUC must clarify that the rate increases will not apply to Direct Access customers.</w:t>
      </w:r>
    </w:p>
    <w:p>
      <w:pPr>
        <w:pStyle w:val="Normal"/>
        <w:rPr>
          <w:sz w:val="22"/>
        </w:rPr>
      </w:pPr>
      <w:r>
        <w:rPr>
          <w:sz w:val="22"/>
        </w:rPr>
      </w:r>
    </w:p>
    <w:p>
      <w:pPr>
        <w:pStyle w:val="Normal"/>
        <w:numPr>
          <w:ilvl w:val="0"/>
          <w:numId w:val="1"/>
        </w:numPr>
        <w:rPr>
          <w:sz w:val="22"/>
        </w:rPr>
      </w:pPr>
      <w:r>
        <w:rPr>
          <w:sz w:val="22"/>
        </w:rPr>
        <w:t>The purpose of the rate increase is to pay for future CDWR purchases.  Such purchases will not be made for the benefit of Direct Access customers, and those customers should not shoulder this financial burden.</w:t>
      </w:r>
    </w:p>
    <w:p>
      <w:pPr>
        <w:pStyle w:val="Normal"/>
        <w:rPr>
          <w:sz w:val="22"/>
        </w:rPr>
      </w:pPr>
      <w:r>
        <w:rPr>
          <w:sz w:val="22"/>
        </w:rPr>
      </w:r>
    </w:p>
    <w:p>
      <w:pPr>
        <w:pStyle w:val="Normal"/>
        <w:numPr>
          <w:ilvl w:val="0"/>
          <w:numId w:val="1"/>
        </w:numPr>
        <w:rPr>
          <w:sz w:val="22"/>
        </w:rPr>
      </w:pPr>
      <w:r>
        <w:rPr>
          <w:sz w:val="22"/>
        </w:rPr>
        <w:t>In fact, the CPUC needs to rectify its mistake of making the initial 1 cent surcharge – effective January 5, 2001 and made permanent by a March 27, 2001 order – apply to Direct Access customers. Neither surcharge should apply to Direct Access Load.</w:t>
      </w:r>
    </w:p>
    <w:p>
      <w:pPr>
        <w:pStyle w:val="Normal"/>
        <w:rPr>
          <w:sz w:val="22"/>
        </w:rPr>
      </w:pPr>
      <w:r>
        <w:rPr>
          <w:sz w:val="22"/>
        </w:rPr>
      </w:r>
    </w:p>
    <w:p>
      <w:pPr>
        <w:pStyle w:val="Normal"/>
        <w:numPr>
          <w:ilvl w:val="0"/>
          <w:numId w:val="1"/>
        </w:numPr>
        <w:rPr>
          <w:sz w:val="22"/>
        </w:rPr>
      </w:pPr>
      <w:r>
        <w:rPr>
          <w:sz w:val="22"/>
        </w:rPr>
        <w:t xml:space="preserve">The CPUC must thoroughly consider how it implements the rate increase.  </w:t>
      </w:r>
    </w:p>
    <w:p>
      <w:pPr>
        <w:pStyle w:val="Normal"/>
        <w:rPr>
          <w:sz w:val="22"/>
        </w:rPr>
      </w:pPr>
      <w:r>
        <w:rPr>
          <w:sz w:val="22"/>
        </w:rPr>
      </w:r>
    </w:p>
    <w:p>
      <w:pPr>
        <w:pStyle w:val="Normal"/>
        <w:numPr>
          <w:ilvl w:val="0"/>
          <w:numId w:val="1"/>
        </w:numPr>
        <w:rPr>
          <w:sz w:val="22"/>
        </w:rPr>
      </w:pPr>
      <w:r>
        <w:rPr>
          <w:sz w:val="22"/>
        </w:rPr>
        <w:t>Indications are that the CPUC intends to apply the rate increase disproportionately to large customers and on-peak usage.</w:t>
      </w:r>
    </w:p>
    <w:p>
      <w:pPr>
        <w:pStyle w:val="Normal"/>
        <w:rPr>
          <w:sz w:val="22"/>
        </w:rPr>
      </w:pPr>
      <w:r>
        <w:rPr>
          <w:sz w:val="22"/>
        </w:rPr>
      </w:r>
    </w:p>
    <w:p>
      <w:pPr>
        <w:pStyle w:val="Normal"/>
        <w:numPr>
          <w:ilvl w:val="0"/>
          <w:numId w:val="1"/>
        </w:numPr>
        <w:rPr>
          <w:sz w:val="22"/>
        </w:rPr>
      </w:pPr>
      <w:r>
        <w:rPr>
          <w:sz w:val="22"/>
        </w:rPr>
        <w:t>The CPUC must balance the desire to protect residential customers while creating price signals and minimizing economic consequences to the economy of California.</w:t>
      </w:r>
    </w:p>
    <w:p>
      <w:pPr>
        <w:pStyle w:val="Normal"/>
        <w:rPr>
          <w:sz w:val="22"/>
        </w:rPr>
      </w:pPr>
      <w:r>
        <w:rPr>
          <w:sz w:val="22"/>
        </w:rPr>
      </w:r>
    </w:p>
    <w:p>
      <w:pPr>
        <w:pStyle w:val="Normal"/>
        <w:numPr>
          <w:ilvl w:val="0"/>
          <w:numId w:val="1"/>
        </w:numPr>
        <w:rPr>
          <w:sz w:val="22"/>
        </w:rPr>
      </w:pPr>
      <w:r>
        <w:rPr>
          <w:sz w:val="22"/>
        </w:rPr>
        <w:t xml:space="preserve">Regardless of how the CPUC’s rate increase is implemented, but especially if it is placed mostly on large commercial and industrial consumers, the legislature must move quickly to re-instate Direct Access.  </w:t>
      </w:r>
    </w:p>
    <w:p>
      <w:pPr>
        <w:pStyle w:val="Normal"/>
        <w:rPr>
          <w:sz w:val="22"/>
        </w:rPr>
      </w:pPr>
      <w:r>
        <w:rPr>
          <w:sz w:val="22"/>
        </w:rPr>
      </w:r>
    </w:p>
    <w:p>
      <w:pPr>
        <w:pStyle w:val="Normal"/>
        <w:numPr>
          <w:ilvl w:val="0"/>
          <w:numId w:val="1"/>
        </w:numPr>
        <w:rPr>
          <w:sz w:val="22"/>
        </w:rPr>
      </w:pPr>
      <w:r>
        <w:rPr>
          <w:sz w:val="22"/>
        </w:rPr>
        <w:t xml:space="preserve">With overnight price increases of up to 87%, large customers need alternatives to bundled utility service.  </w:t>
      </w:r>
    </w:p>
    <w:p>
      <w:pPr>
        <w:pStyle w:val="Normal"/>
        <w:rPr>
          <w:sz w:val="22"/>
        </w:rPr>
      </w:pPr>
      <w:r>
        <w:rPr>
          <w:sz w:val="22"/>
        </w:rPr>
      </w:r>
    </w:p>
    <w:p>
      <w:pPr>
        <w:pStyle w:val="Normal"/>
        <w:numPr>
          <w:ilvl w:val="0"/>
          <w:numId w:val="1"/>
        </w:numPr>
        <w:rPr>
          <w:sz w:val="22"/>
        </w:rPr>
      </w:pPr>
      <w:r>
        <w:rPr>
          <w:sz w:val="22"/>
        </w:rPr>
        <w:t>Direct Access ensures that CDWR’s financial burden is made less, while the customer and the California economy are made better off.</w:t>
      </w:r>
    </w:p>
    <w:p>
      <w:pPr>
        <w:pStyle w:val="Normal"/>
        <w:rPr>
          <w:sz w:val="22"/>
        </w:rPr>
      </w:pPr>
      <w:r>
        <w:rPr>
          <w:sz w:val="22"/>
        </w:rPr>
      </w:r>
    </w:p>
    <w:p>
      <w:pPr>
        <w:pStyle w:val="Normal"/>
        <w:numPr>
          <w:ilvl w:val="0"/>
          <w:numId w:val="1"/>
        </w:numPr>
        <w:rPr>
          <w:sz w:val="22"/>
        </w:rPr>
      </w:pPr>
      <w:r>
        <w:rPr>
          <w:sz w:val="22"/>
        </w:rPr>
        <w:t xml:space="preserve">The CPUC should not subject the rate increase to a refund.  This action can undermine the positive value created for CDWR by removing assurances of a revenue stream for CDWR purchases.  </w:t>
      </w:r>
    </w:p>
    <w:p>
      <w:pPr>
        <w:pStyle w:val="Normal"/>
        <w:rPr>
          <w:sz w:val="22"/>
        </w:rPr>
      </w:pPr>
      <w:r>
        <w:rPr>
          <w:sz w:val="22"/>
        </w:rPr>
      </w:r>
    </w:p>
    <w:p>
      <w:pPr>
        <w:pStyle w:val="Normal"/>
        <w:numPr>
          <w:ilvl w:val="0"/>
          <w:numId w:val="1"/>
        </w:numPr>
        <w:rPr>
          <w:sz w:val="22"/>
        </w:rPr>
      </w:pPr>
      <w:r>
        <w:rPr>
          <w:sz w:val="22"/>
        </w:rPr>
        <w:t>Finally, requiring utilities to make a timely payment to Qualifying Facilities is a necessary step toward shoring up the finances of these critical generation sources.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hd w:fill="0C0C0C" w:val="clear"/>
      <w:jc w:val="center"/>
    </w:pPr>
    <w:rPr>
      <w:rFonts w:ascii="Arial Black" w:hAnsi="Arial Black" w:cs="Arial Black"/>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2001-04-02T18:17:00Z</dcterms:created>
  <dc:creator>jguerre</dc:creator>
  <dc:description/>
  <dc:language>en-CA</dc:language>
  <cp:lastModifiedBy>jthome</cp:lastModifiedBy>
  <dcterms:modified xsi:type="dcterms:W3CDTF">2001-04-02T18:17:00Z</dcterms:modified>
  <cp:revision>2</cp:revision>
  <dc:subject/>
  <dc:title>Enron Reaction to CPUC Decisions of 2/27/01</dc:title>
</cp:coreProperties>
</file>