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May 17,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RealEnergy, Inc.</w:t>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 xml:space="preserve">1900 Avenue of the Stars, Suite 755 </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t>Los Angeles, California 90067</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RealEnergy, Inc.</w:t>
      </w:r>
      <w:r>
        <w:rPr>
          <w:rFonts w:cs="Times New Roman" w:ascii="Times New Roman" w:hAnsi="Times New Roman"/>
          <w:color w:val="000000"/>
          <w:sz w:val="20"/>
        </w:rPr>
        <w:t xml:space="preserve"> </w:t>
      </w:r>
      <w:r>
        <w:rPr>
          <w:rFonts w:cs="Times New Roman" w:ascii="Times New Roman" w:hAnsi="Times New Roman"/>
          <w:sz w:val="20"/>
        </w:rPr>
        <w:t xml:space="preserve">("RealEnergy") and Enron North America Corp. ("ENA") are prepared to furnish each other with information in connection with and </w:t>
      </w:r>
      <w:r>
        <w:rPr>
          <w:rFonts w:cs="Times New Roman" w:ascii="Times New Roman" w:hAnsi="Times New Roman"/>
          <w:color w:val="000000"/>
          <w:sz w:val="20"/>
        </w:rPr>
        <w:t xml:space="preserve">concerning the </w:t>
      </w:r>
      <w:r>
        <w:rPr>
          <w:rFonts w:cs="Times New Roman" w:ascii="Times New Roman" w:hAnsi="Times New Roman"/>
          <w:sz w:val="20"/>
        </w:rPr>
        <w:t>potential sale of natural gas and/or provision of transportation capacity for RealEnergy's distributive generation requirements in southern California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RealEnergy to assess and potentially develop commercial transactions, and as a condition to furnishing the information as set forth above, ENA and RealEnergy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RealEnergy and ENA do hereby acknowledge and agree that neither RealEnergy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RealEnergy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RealEnergy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 xml:space="preserve">REALENERGY, INC.  </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/mnt/main-storage/datasets/enron-docs/doc/CA_RealEnergyinc051701-dc9e7dc5ab20452ee19236e5daa0971a40548d955700b75ed47df84f22867861.doc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2001-05-17T17:55:00Z</dcterms:created>
  <dc:creator>ECT</dc:creator>
  <dc:description/>
  <dc:language>en-CA</dc:language>
  <cp:lastModifiedBy>mogden</cp:lastModifiedBy>
  <cp:lastPrinted>2001-05-18T15:24:00Z</cp:lastPrinted>
  <dcterms:modified xsi:type="dcterms:W3CDTF">2001-05-18T17:56:00Z</dcterms:modified>
  <cp:revision>4</cp:revision>
  <dc:subject/>
  <dc:title>Reciprocal Confidentiality Agreement</dc:title>
</cp:coreProperties>
</file>