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Analysis of SB 78 and 532 Renewable Portfolio Standard (RPS) language and resulting commercial implications</w:t>
      </w:r>
    </w:p>
    <w:p>
      <w:pPr>
        <w:pStyle w:val="Normal"/>
        <w:jc w:val="center"/>
        <w:rPr>
          <w:b/>
          <w:bCs/>
          <w:sz w:val="28"/>
        </w:rPr>
      </w:pPr>
      <w:r>
        <w:rPr>
          <w:b/>
          <w:bCs/>
          <w:sz w:val="28"/>
        </w:rPr>
        <w:t>August 28, 2001</w:t>
      </w:r>
    </w:p>
    <w:p>
      <w:pPr>
        <w:pStyle w:val="Normal"/>
        <w:jc w:val="center"/>
        <w:rPr>
          <w:b/>
          <w:bCs/>
          <w:sz w:val="28"/>
        </w:rPr>
      </w:pPr>
      <w:r>
        <w:rPr>
          <w:b/>
          <w:bCs/>
          <w:sz w:val="28"/>
        </w:rPr>
      </w:r>
    </w:p>
    <w:p>
      <w:pPr>
        <w:pStyle w:val="BodyText"/>
        <w:rPr/>
      </w:pPr>
      <w:r>
        <w:rPr/>
        <w:t>Overview:</w:t>
      </w:r>
      <w:r>
        <w:rPr>
          <w:b w:val="false"/>
          <w:bCs w:val="false"/>
        </w:rPr>
        <w:t xml:space="preserve"> The California legislature is considering two bills that would require retail sellers to purchase a certain percentage of new renewable resources on an annual basis.  Below is a comparative chart of the two bills and the resulting commercial implications (wholesale and retail) if the bills are enacted.</w:t>
      </w:r>
    </w:p>
    <w:p>
      <w:pPr>
        <w:pStyle w:val="Normal"/>
        <w:rPr>
          <w:b/>
          <w:bCs/>
        </w:rPr>
      </w:pPr>
      <w:r>
        <w:rPr>
          <w:b/>
          <w:bCs/>
        </w:rPr>
      </w:r>
    </w:p>
    <w:tbl>
      <w:tblPr>
        <w:tblW w:w="9360" w:type="dxa"/>
        <w:jc w:val="start"/>
        <w:tblInd w:w="-252" w:type="dxa"/>
        <w:tblLayout w:type="fixed"/>
        <w:tblCellMar>
          <w:top w:w="0" w:type="dxa"/>
          <w:start w:w="108" w:type="dxa"/>
          <w:bottom w:w="0" w:type="dxa"/>
          <w:end w:w="108" w:type="dxa"/>
        </w:tblCellMar>
      </w:tblPr>
      <w:tblGrid>
        <w:gridCol w:w="3204"/>
        <w:gridCol w:w="2952"/>
        <w:gridCol w:w="3204"/>
      </w:tblGrid>
      <w:tr>
        <w:trPr/>
        <w:tc>
          <w:tcPr>
            <w:tcW w:w="3204"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Requirements</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SB 78</w:t>
            </w:r>
          </w:p>
        </w:tc>
        <w:tc>
          <w:tcPr>
            <w:tcW w:w="3204"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SB 532</w:t>
            </w:r>
          </w:p>
        </w:tc>
      </w:tr>
      <w:tr>
        <w:trPr/>
        <w:tc>
          <w:tcPr>
            <w:tcW w:w="3204" w:type="dxa"/>
            <w:tcBorders>
              <w:top w:val="single" w:sz="4" w:space="0" w:color="000000"/>
              <w:start w:val="single" w:sz="4" w:space="0" w:color="000000"/>
              <w:bottom w:val="single" w:sz="4" w:space="0" w:color="000000"/>
              <w:end w:val="single" w:sz="4" w:space="0" w:color="000000"/>
            </w:tcBorders>
          </w:tcPr>
          <w:p>
            <w:pPr>
              <w:pStyle w:val="Normal"/>
              <w:rPr/>
            </w:pPr>
            <w:r>
              <w:rPr/>
              <w:t>Eligible new renewable resources</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Wind, solar, geothermal or biomass facilities that began operation 1/1/01 and after (or incremental generation after repowering).  Must be located within or interconnected to the control area of CA ISO, LADWP or Imperial Irrigation District.</w:t>
            </w:r>
          </w:p>
        </w:tc>
        <w:tc>
          <w:tcPr>
            <w:tcW w:w="3204" w:type="dxa"/>
            <w:tcBorders>
              <w:top w:val="single" w:sz="4" w:space="0" w:color="000000"/>
              <w:start w:val="single" w:sz="4" w:space="0" w:color="000000"/>
              <w:bottom w:val="single" w:sz="4" w:space="0" w:color="000000"/>
              <w:end w:val="single" w:sz="4" w:space="0" w:color="000000"/>
            </w:tcBorders>
          </w:tcPr>
          <w:p>
            <w:pPr>
              <w:pStyle w:val="Normal"/>
              <w:rPr/>
            </w:pPr>
            <w:r>
              <w:rPr/>
              <w:t>same</w:t>
            </w:r>
          </w:p>
        </w:tc>
      </w:tr>
      <w:tr>
        <w:trPr/>
        <w:tc>
          <w:tcPr>
            <w:tcW w:w="3204" w:type="dxa"/>
            <w:tcBorders>
              <w:top w:val="single" w:sz="4" w:space="0" w:color="000000"/>
              <w:start w:val="single" w:sz="4" w:space="0" w:color="000000"/>
              <w:bottom w:val="single" w:sz="4" w:space="0" w:color="000000"/>
              <w:end w:val="single" w:sz="4" w:space="0" w:color="000000"/>
            </w:tcBorders>
          </w:tcPr>
          <w:p>
            <w:pPr>
              <w:pStyle w:val="Normal"/>
              <w:rPr/>
            </w:pPr>
            <w:r>
              <w:rPr/>
              <w:t>Eligible existing renewable resources</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Wind, solar, geothermal, biomass starting operations before 1/1/02, whose power is under a direct bilateral contract to a retail seller, and is located within or interconnected and scheduled into the control area of CA ISO, LADWP or Imperial Irrigation District.</w:t>
            </w:r>
          </w:p>
        </w:tc>
        <w:tc>
          <w:tcPr>
            <w:tcW w:w="3204" w:type="dxa"/>
            <w:tcBorders>
              <w:top w:val="single" w:sz="4" w:space="0" w:color="000000"/>
              <w:start w:val="single" w:sz="4" w:space="0" w:color="000000"/>
              <w:bottom w:val="single" w:sz="4" w:space="0" w:color="000000"/>
              <w:end w:val="single" w:sz="4" w:space="0" w:color="000000"/>
            </w:tcBorders>
          </w:tcPr>
          <w:p>
            <w:pPr>
              <w:pStyle w:val="Normal"/>
              <w:rPr/>
            </w:pPr>
            <w:r>
              <w:rPr/>
              <w:t>same</w:t>
            </w:r>
          </w:p>
        </w:tc>
      </w:tr>
      <w:tr>
        <w:trPr/>
        <w:tc>
          <w:tcPr>
            <w:tcW w:w="3204" w:type="dxa"/>
            <w:tcBorders>
              <w:top w:val="single" w:sz="4" w:space="0" w:color="000000"/>
              <w:start w:val="single" w:sz="4" w:space="0" w:color="000000"/>
              <w:bottom w:val="single" w:sz="4" w:space="0" w:color="000000"/>
              <w:end w:val="single" w:sz="4" w:space="0" w:color="000000"/>
            </w:tcBorders>
          </w:tcPr>
          <w:p>
            <w:pPr>
              <w:pStyle w:val="Normal"/>
              <w:rPr/>
            </w:pPr>
            <w:r>
              <w:rPr/>
              <w:t>Renewable Energy Credit</w:t>
            </w:r>
          </w:p>
          <w:p>
            <w:pPr>
              <w:pStyle w:val="Normal"/>
              <w:rPr/>
            </w:pPr>
            <w:r>
              <w:rPr/>
              <w:t>(“REC”)</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For Electric Corps, a REC is defined as a tradable instrument, certified by the CEC, representing that one kWh of eligible renewable energy resource that was generated.  For a locally owned electric utility, a REC represents 1 kWh of generation from eligible NEW renewable resources.</w:t>
            </w:r>
          </w:p>
        </w:tc>
        <w:tc>
          <w:tcPr>
            <w:tcW w:w="3204" w:type="dxa"/>
            <w:tcBorders>
              <w:top w:val="single" w:sz="4" w:space="0" w:color="000000"/>
              <w:start w:val="single" w:sz="4" w:space="0" w:color="000000"/>
              <w:bottom w:val="single" w:sz="4" w:space="0" w:color="000000"/>
              <w:end w:val="single" w:sz="4" w:space="0" w:color="000000"/>
            </w:tcBorders>
          </w:tcPr>
          <w:p>
            <w:pPr>
              <w:pStyle w:val="Normal"/>
              <w:rPr/>
            </w:pPr>
            <w:r>
              <w:rPr/>
              <w:t>Makes no distinction between new and existing resources.  A REC is a tradable instrument, certified by the CEC that represents one kWh of eligible renewable energy resource that was generated.</w:t>
            </w:r>
          </w:p>
        </w:tc>
      </w:tr>
      <w:tr>
        <w:trPr/>
        <w:tc>
          <w:tcPr>
            <w:tcW w:w="3204" w:type="dxa"/>
            <w:tcBorders>
              <w:top w:val="single" w:sz="4" w:space="0" w:color="000000"/>
              <w:start w:val="single" w:sz="4" w:space="0" w:color="000000"/>
              <w:bottom w:val="single" w:sz="4" w:space="0" w:color="000000"/>
              <w:end w:val="single" w:sz="4" w:space="0" w:color="000000"/>
            </w:tcBorders>
          </w:tcPr>
          <w:p>
            <w:pPr>
              <w:pStyle w:val="Normal"/>
              <w:rPr/>
            </w:pPr>
            <w:r>
              <w:rPr/>
              <w:t>RPS Percentages from NEW eligible resources</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1% by 6/1/2003</w:t>
            </w:r>
          </w:p>
          <w:p>
            <w:pPr>
              <w:pStyle w:val="Normal"/>
              <w:rPr/>
            </w:pPr>
            <w:r>
              <w:rPr/>
              <w:t xml:space="preserve">2% by </w:t>
              <w:tab/>
              <w:t>1/1/2005</w:t>
              <w:tab/>
            </w:r>
          </w:p>
          <w:p>
            <w:pPr>
              <w:pStyle w:val="Normal"/>
              <w:rPr/>
            </w:pPr>
            <w:r>
              <w:rPr/>
              <w:t>5% by</w:t>
              <w:tab/>
              <w:t>1/1/2007</w:t>
            </w:r>
          </w:p>
          <w:p>
            <w:pPr>
              <w:pStyle w:val="Normal"/>
              <w:rPr/>
            </w:pPr>
            <w:r>
              <w:rPr/>
              <w:t>8% by</w:t>
              <w:tab/>
              <w:t>1/1/2009</w:t>
            </w:r>
          </w:p>
          <w:p>
            <w:pPr>
              <w:pStyle w:val="Normal"/>
              <w:rPr/>
            </w:pPr>
            <w:r>
              <w:rPr/>
              <w:t>10% by 1/1/2010 and annually through 1/12020</w:t>
            </w:r>
          </w:p>
          <w:p>
            <w:pPr>
              <w:pStyle w:val="Normal"/>
              <w:rPr/>
            </w:pPr>
            <w:r>
              <w:rPr/>
            </w:r>
          </w:p>
        </w:tc>
        <w:tc>
          <w:tcPr>
            <w:tcW w:w="3204" w:type="dxa"/>
            <w:tcBorders>
              <w:top w:val="single" w:sz="4" w:space="0" w:color="000000"/>
              <w:start w:val="single" w:sz="4" w:space="0" w:color="000000"/>
              <w:bottom w:val="single" w:sz="4" w:space="0" w:color="000000"/>
              <w:end w:val="single" w:sz="4" w:space="0" w:color="000000"/>
            </w:tcBorders>
          </w:tcPr>
          <w:p>
            <w:pPr>
              <w:pStyle w:val="Normal"/>
              <w:rPr/>
            </w:pPr>
            <w:r>
              <w:rPr/>
              <w:t>Same</w:t>
            </w:r>
          </w:p>
        </w:tc>
      </w:tr>
      <w:tr>
        <w:trPr>
          <w:trHeight w:val="1430" w:hRule="atLeast"/>
        </w:trPr>
        <w:tc>
          <w:tcPr>
            <w:tcW w:w="3204" w:type="dxa"/>
            <w:tcBorders>
              <w:top w:val="single" w:sz="4" w:space="0" w:color="000000"/>
              <w:start w:val="single" w:sz="4" w:space="0" w:color="000000"/>
              <w:bottom w:val="single" w:sz="4" w:space="0" w:color="000000"/>
              <w:end w:val="single" w:sz="4" w:space="0" w:color="000000"/>
            </w:tcBorders>
          </w:tcPr>
          <w:p>
            <w:pPr>
              <w:pStyle w:val="Normal"/>
              <w:rPr/>
            </w:pPr>
            <w:r>
              <w:rPr/>
              <w:t>Statewide percentage from eligible resources</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10% by 1/2003</w:t>
            </w:r>
          </w:p>
          <w:p>
            <w:pPr>
              <w:pStyle w:val="Normal"/>
              <w:rPr/>
            </w:pPr>
            <w:r>
              <w:rPr/>
              <w:t>12% by 1/1/2005</w:t>
            </w:r>
          </w:p>
          <w:p>
            <w:pPr>
              <w:pStyle w:val="Normal"/>
              <w:rPr/>
            </w:pPr>
            <w:r>
              <w:rPr/>
              <w:t>15% by 1/1/2007</w:t>
            </w:r>
          </w:p>
          <w:p>
            <w:pPr>
              <w:pStyle w:val="Normal"/>
              <w:rPr/>
            </w:pPr>
            <w:r>
              <w:rPr/>
              <w:t>18% by 1/1/2009</w:t>
            </w:r>
          </w:p>
          <w:p>
            <w:pPr>
              <w:pStyle w:val="Normal"/>
              <w:rPr/>
            </w:pPr>
            <w:r>
              <w:rPr/>
              <w:t>20% by 1/1/2010</w:t>
            </w:r>
          </w:p>
          <w:p>
            <w:pPr>
              <w:pStyle w:val="Normal"/>
              <w:rPr/>
            </w:pPr>
            <w:r>
              <w:rPr/>
            </w:r>
          </w:p>
        </w:tc>
        <w:tc>
          <w:tcPr>
            <w:tcW w:w="3204" w:type="dxa"/>
            <w:tcBorders>
              <w:top w:val="single" w:sz="4" w:space="0" w:color="000000"/>
              <w:start w:val="single" w:sz="4" w:space="0" w:color="000000"/>
              <w:bottom w:val="single" w:sz="4" w:space="0" w:color="000000"/>
              <w:end w:val="single" w:sz="4" w:space="0" w:color="000000"/>
            </w:tcBorders>
          </w:tcPr>
          <w:p>
            <w:pPr>
              <w:pStyle w:val="Normal"/>
              <w:rPr/>
            </w:pPr>
            <w:r>
              <w:rPr/>
              <w:t>same</w:t>
            </w:r>
          </w:p>
        </w:tc>
      </w:tr>
    </w:tbl>
    <w:p>
      <w:pPr>
        <w:pStyle w:val="Normal"/>
        <w:rPr/>
      </w:pPr>
      <w:r>
        <w:rPr/>
      </w:r>
    </w:p>
    <w:p>
      <w:pPr>
        <w:pStyle w:val="Normal"/>
        <w:rPr>
          <w:b/>
          <w:bCs/>
        </w:rPr>
      </w:pPr>
      <w:r>
        <w:rPr>
          <w:b/>
          <w:bCs/>
        </w:rPr>
      </w:r>
    </w:p>
    <w:p>
      <w:pPr>
        <w:pStyle w:val="Normal"/>
        <w:rPr>
          <w:b/>
          <w:bCs/>
        </w:rPr>
      </w:pPr>
      <w:r>
        <w:rPr>
          <w:b/>
          <w:bCs/>
        </w:rPr>
      </w:r>
    </w:p>
    <w:p>
      <w:pPr>
        <w:pStyle w:val="Heading1"/>
        <w:ind w:hanging="0" w:start="0"/>
        <w:rPr/>
      </w:pPr>
      <w:r>
        <w:rPr/>
        <w:t>Commercial Implications</w:t>
      </w:r>
    </w:p>
    <w:p>
      <w:pPr>
        <w:pStyle w:val="Normal"/>
        <w:rPr/>
      </w:pPr>
      <w:r>
        <w:rPr/>
      </w:r>
    </w:p>
    <w:tbl>
      <w:tblPr>
        <w:tblW w:w="9360" w:type="dxa"/>
        <w:jc w:val="start"/>
        <w:tblInd w:w="-340" w:type="dxa"/>
        <w:tblLayout w:type="fixed"/>
        <w:tblCellMar>
          <w:top w:w="20" w:type="dxa"/>
          <w:start w:w="20" w:type="dxa"/>
          <w:bottom w:w="0" w:type="dxa"/>
          <w:end w:w="20" w:type="dxa"/>
        </w:tblCellMar>
      </w:tblPr>
      <w:tblGrid>
        <w:gridCol w:w="2340"/>
        <w:gridCol w:w="2000"/>
        <w:gridCol w:w="1340"/>
        <w:gridCol w:w="1220"/>
        <w:gridCol w:w="2460"/>
      </w:tblGrid>
      <w:tr>
        <w:trPr>
          <w:trHeight w:val="510" w:hRule="atLeast"/>
        </w:trPr>
        <w:tc>
          <w:tcPr>
            <w:tcW w:w="2340" w:type="dxa"/>
            <w:tcBorders>
              <w:top w:val="single" w:sz="4" w:space="0" w:color="000000"/>
              <w:start w:val="single" w:sz="4" w:space="0" w:color="000000"/>
              <w:bottom w:val="single" w:sz="4" w:space="0" w:color="000000"/>
              <w:end w:val="single" w:sz="4" w:space="0" w:color="000000"/>
            </w:tcBorders>
            <w:shd w:fill="CCFFCC" w:val="clear"/>
            <w:vAlign w:val="center"/>
          </w:tcPr>
          <w:p>
            <w:pPr>
              <w:pStyle w:val="Normal"/>
              <w:jc w:val="center"/>
              <w:rPr>
                <w:rFonts w:ascii="Arial" w:hAnsi="Arial" w:eastAsia="Arial Unicode MS" w:cs="Arial"/>
                <w:b/>
                <w:bCs/>
                <w:szCs w:val="20"/>
              </w:rPr>
            </w:pPr>
            <w:r>
              <w:rPr>
                <w:rFonts w:cs="Arial" w:ascii="Arial" w:hAnsi="Arial"/>
                <w:b/>
                <w:bCs/>
                <w:szCs w:val="20"/>
              </w:rPr>
              <w:t>Date</w:t>
            </w:r>
          </w:p>
        </w:tc>
        <w:tc>
          <w:tcPr>
            <w:tcW w:w="2000" w:type="dxa"/>
            <w:tcBorders>
              <w:top w:val="single" w:sz="4" w:space="0" w:color="000000"/>
              <w:bottom w:val="single" w:sz="4" w:space="0" w:color="000000"/>
              <w:end w:val="single" w:sz="4" w:space="0" w:color="000000"/>
            </w:tcBorders>
            <w:shd w:fill="CCFFCC" w:val="clear"/>
            <w:vAlign w:val="center"/>
          </w:tcPr>
          <w:p>
            <w:pPr>
              <w:pStyle w:val="Normal"/>
              <w:jc w:val="center"/>
              <w:rPr>
                <w:rFonts w:ascii="Arial" w:hAnsi="Arial" w:eastAsia="Arial Unicode MS" w:cs="Arial"/>
                <w:b/>
                <w:bCs/>
                <w:szCs w:val="20"/>
              </w:rPr>
            </w:pPr>
            <w:r>
              <w:rPr>
                <w:rFonts w:cs="Arial" w:ascii="Arial" w:hAnsi="Arial"/>
                <w:b/>
                <w:bCs/>
                <w:szCs w:val="20"/>
              </w:rPr>
              <w:t>RPS Requirement</w:t>
            </w:r>
          </w:p>
        </w:tc>
        <w:tc>
          <w:tcPr>
            <w:tcW w:w="1340" w:type="dxa"/>
            <w:tcBorders>
              <w:top w:val="single" w:sz="4" w:space="0" w:color="000000"/>
              <w:bottom w:val="single" w:sz="4" w:space="0" w:color="000000"/>
              <w:end w:val="single" w:sz="4" w:space="0" w:color="000000"/>
            </w:tcBorders>
            <w:shd w:fill="CCFFCC" w:val="clear"/>
            <w:vAlign w:val="center"/>
          </w:tcPr>
          <w:p>
            <w:pPr>
              <w:pStyle w:val="Normal"/>
              <w:jc w:val="center"/>
              <w:rPr>
                <w:rFonts w:ascii="Arial" w:hAnsi="Arial" w:eastAsia="Arial Unicode MS" w:cs="Arial"/>
                <w:b/>
                <w:bCs/>
                <w:szCs w:val="20"/>
              </w:rPr>
            </w:pPr>
            <w:r>
              <w:rPr>
                <w:rFonts w:cs="Arial" w:ascii="Arial" w:hAnsi="Arial"/>
                <w:b/>
                <w:bCs/>
                <w:szCs w:val="20"/>
              </w:rPr>
              <w:t>Actual and Forecasted CA Load</w:t>
            </w:r>
          </w:p>
        </w:tc>
        <w:tc>
          <w:tcPr>
            <w:tcW w:w="1220" w:type="dxa"/>
            <w:tcBorders>
              <w:top w:val="single" w:sz="4" w:space="0" w:color="000000"/>
              <w:bottom w:val="single" w:sz="4" w:space="0" w:color="000000"/>
              <w:end w:val="single" w:sz="4" w:space="0" w:color="000000"/>
            </w:tcBorders>
            <w:shd w:fill="CCFFCC" w:val="clear"/>
            <w:vAlign w:val="center"/>
          </w:tcPr>
          <w:p>
            <w:pPr>
              <w:pStyle w:val="Normal"/>
              <w:jc w:val="center"/>
              <w:rPr>
                <w:rFonts w:ascii="Arial" w:hAnsi="Arial" w:eastAsia="Arial Unicode MS" w:cs="Arial"/>
                <w:b/>
                <w:bCs/>
                <w:szCs w:val="20"/>
              </w:rPr>
            </w:pPr>
            <w:r>
              <w:rPr>
                <w:rFonts w:eastAsia="Arial" w:cs="Arial" w:ascii="Arial" w:hAnsi="Arial"/>
                <w:b/>
                <w:bCs/>
                <w:szCs w:val="20"/>
              </w:rPr>
              <w:t xml:space="preserve"> </w:t>
            </w:r>
            <w:r>
              <w:rPr>
                <w:rFonts w:cs="Arial" w:ascii="Arial" w:hAnsi="Arial"/>
                <w:b/>
                <w:bCs/>
                <w:szCs w:val="20"/>
              </w:rPr>
              <w:t>MWH % for RPS</w:t>
            </w:r>
          </w:p>
        </w:tc>
        <w:tc>
          <w:tcPr>
            <w:tcW w:w="2460" w:type="dxa"/>
            <w:tcBorders>
              <w:top w:val="single" w:sz="4" w:space="0" w:color="000000"/>
              <w:bottom w:val="single" w:sz="4" w:space="0" w:color="000000"/>
              <w:end w:val="single" w:sz="4" w:space="0" w:color="000000"/>
            </w:tcBorders>
            <w:shd w:fill="CCFFCC" w:val="clear"/>
            <w:vAlign w:val="center"/>
          </w:tcPr>
          <w:p>
            <w:pPr>
              <w:pStyle w:val="Normal"/>
              <w:jc w:val="center"/>
              <w:rPr>
                <w:rFonts w:ascii="Arial" w:hAnsi="Arial" w:eastAsia="Arial Unicode MS" w:cs="Arial"/>
                <w:b/>
                <w:bCs/>
                <w:szCs w:val="20"/>
              </w:rPr>
            </w:pPr>
            <w:r>
              <w:rPr>
                <w:rFonts w:cs="Arial" w:ascii="Arial" w:hAnsi="Arial"/>
                <w:b/>
                <w:bCs/>
                <w:szCs w:val="20"/>
              </w:rPr>
              <w:t>MW w/ 30% cf for RPS</w:t>
            </w:r>
          </w:p>
        </w:tc>
      </w:tr>
      <w:tr>
        <w:trPr>
          <w:trHeight w:val="255" w:hRule="atLeast"/>
        </w:trPr>
        <w:tc>
          <w:tcPr>
            <w:tcW w:w="234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6/1/2003</w:t>
            </w:r>
          </w:p>
        </w:tc>
        <w:tc>
          <w:tcPr>
            <w:tcW w:w="200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w:t>
            </w:r>
          </w:p>
        </w:tc>
        <w:tc>
          <w:tcPr>
            <w:tcW w:w="134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158,315,000</w:t>
            </w:r>
          </w:p>
        </w:tc>
        <w:tc>
          <w:tcPr>
            <w:tcW w:w="122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1,583,150</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602</w:t>
            </w:r>
          </w:p>
        </w:tc>
      </w:tr>
      <w:tr>
        <w:trPr>
          <w:trHeight w:val="255" w:hRule="atLeast"/>
        </w:trPr>
        <w:tc>
          <w:tcPr>
            <w:tcW w:w="234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1/1/2005</w:t>
            </w:r>
          </w:p>
        </w:tc>
        <w:tc>
          <w:tcPr>
            <w:tcW w:w="200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w:t>
            </w:r>
          </w:p>
        </w:tc>
        <w:tc>
          <w:tcPr>
            <w:tcW w:w="134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274,772,000</w:t>
            </w:r>
          </w:p>
        </w:tc>
        <w:tc>
          <w:tcPr>
            <w:tcW w:w="122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5,495,440</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2,091</w:t>
            </w:r>
          </w:p>
        </w:tc>
      </w:tr>
      <w:tr>
        <w:trPr>
          <w:trHeight w:val="255" w:hRule="atLeast"/>
        </w:trPr>
        <w:tc>
          <w:tcPr>
            <w:tcW w:w="234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1/1/2007</w:t>
            </w:r>
          </w:p>
        </w:tc>
        <w:tc>
          <w:tcPr>
            <w:tcW w:w="200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eastAsia="Arial Unicode MS" w:cs="Arial" w:ascii="Arial" w:hAnsi="Arial"/>
                <w:sz w:val="20"/>
                <w:szCs w:val="20"/>
              </w:rPr>
              <w:t>5%</w:t>
            </w:r>
          </w:p>
        </w:tc>
        <w:tc>
          <w:tcPr>
            <w:tcW w:w="134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289,189,000</w:t>
            </w:r>
          </w:p>
        </w:tc>
        <w:tc>
          <w:tcPr>
            <w:tcW w:w="122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14,459,450</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5,502</w:t>
            </w:r>
          </w:p>
        </w:tc>
      </w:tr>
      <w:tr>
        <w:trPr>
          <w:trHeight w:val="255" w:hRule="atLeast"/>
        </w:trPr>
        <w:tc>
          <w:tcPr>
            <w:tcW w:w="234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1/1/2009</w:t>
            </w:r>
          </w:p>
        </w:tc>
        <w:tc>
          <w:tcPr>
            <w:tcW w:w="200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8%</w:t>
            </w:r>
          </w:p>
        </w:tc>
        <w:tc>
          <w:tcPr>
            <w:tcW w:w="134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304,364,000</w:t>
            </w:r>
          </w:p>
        </w:tc>
        <w:tc>
          <w:tcPr>
            <w:tcW w:w="122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24,349,120</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9,265</w:t>
            </w:r>
          </w:p>
        </w:tc>
      </w:tr>
      <w:tr>
        <w:trPr>
          <w:trHeight w:val="255" w:hRule="atLeast"/>
        </w:trPr>
        <w:tc>
          <w:tcPr>
            <w:tcW w:w="234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1/1/2010</w:t>
            </w:r>
          </w:p>
        </w:tc>
        <w:tc>
          <w:tcPr>
            <w:tcW w:w="200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10%</w:t>
            </w:r>
          </w:p>
        </w:tc>
        <w:tc>
          <w:tcPr>
            <w:tcW w:w="134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312,246,000</w:t>
            </w:r>
          </w:p>
        </w:tc>
        <w:tc>
          <w:tcPr>
            <w:tcW w:w="122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31,224,600</w:t>
            </w:r>
          </w:p>
        </w:tc>
        <w:tc>
          <w:tcPr>
            <w:tcW w:w="24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11,882</w:t>
            </w:r>
          </w:p>
        </w:tc>
      </w:tr>
    </w:tbl>
    <w:p>
      <w:pPr>
        <w:pStyle w:val="Normal"/>
        <w:rPr/>
      </w:pPr>
      <w:r>
        <w:rPr/>
        <w:t>*Data taken from California ISO Summer Assessment, page 28</w:t>
      </w:r>
    </w:p>
    <w:p>
      <w:pPr>
        <w:pStyle w:val="Normal"/>
        <w:rPr/>
      </w:pPr>
      <w:hyperlink r:id="rId2">
        <w:r>
          <w:rPr>
            <w:rStyle w:val="Hyperlink"/>
          </w:rPr>
          <w:t>http://www.caiso.com/docs/2001/04/06/2001040615482125557.pdf</w:t>
        </w:r>
      </w:hyperlink>
    </w:p>
    <w:p>
      <w:pPr>
        <w:pStyle w:val="Normal"/>
        <w:rPr/>
      </w:pPr>
      <w:r>
        <w:rPr/>
      </w:r>
    </w:p>
    <w:p>
      <w:pPr>
        <w:pStyle w:val="Normal"/>
        <w:rPr/>
      </w:pPr>
      <w:r>
        <w:rPr>
          <w:b/>
          <w:bCs/>
        </w:rPr>
        <w:t>Explanation of chart:</w:t>
      </w:r>
      <w:r>
        <w:rPr/>
        <w:t xml:space="preserve">  Beginning on the date listed above, all retail sellers will be required to purchase the above listed percentages of eligible new renewable resources (definition in chart above).  Based on the actual and forecasted annual loads, I’ve calculated the percentages in MWhs and MW (w/ a 30% capacity factor) in order to capture the RPS effect on the power mix.</w:t>
      </w:r>
    </w:p>
    <w:p>
      <w:pPr>
        <w:pStyle w:val="Normal"/>
        <w:rPr/>
      </w:pPr>
      <w:r>
        <w:rPr/>
      </w:r>
    </w:p>
    <w:p>
      <w:pPr>
        <w:pStyle w:val="Normal"/>
        <w:rPr/>
      </w:pPr>
      <w:r>
        <w:rPr>
          <w:b/>
          <w:bCs/>
        </w:rPr>
        <w:t>Retail Implication:</w:t>
      </w:r>
      <w:r>
        <w:rPr/>
        <w:t xml:space="preserve">  New supply should be plentiful in California.  The CEC estimates that 728 MWs will be online by 12/31/01.</w:t>
      </w:r>
      <w:r>
        <w:rPr>
          <w:rStyle w:val="FootnoteCharacters"/>
          <w:rStyle w:val="FootnoteReference"/>
        </w:rPr>
        <w:footnoteReference w:id="2"/>
      </w:r>
      <w:r>
        <w:rPr/>
        <w:t xml:space="preserve"> The proposed bill puts a cost ceiling per kWh of .015 cents on the REC premium – although it is unclear if this cap applies to new renewable RECs.  Further, the proposed bills do not prohibit the ability to use customer credit incentive monies to bring down the premium.  Therefore, retail suppliers could purchase renewable energy to satisfy the RPS and bring down cost per kWh with the incentive money unless otherwise prohibited.  Another potential retail impact if this legislation passes is the disclosure of the fuel mix requirement.  It is likely that the format will change slightly in order to depict the percentage of renewable energy purchased for the RPS.</w:t>
      </w:r>
    </w:p>
    <w:p>
      <w:pPr>
        <w:pStyle w:val="Normal"/>
        <w:ind w:start="720" w:end="0"/>
        <w:rPr/>
      </w:pPr>
      <w:r>
        <w:rPr/>
      </w:r>
    </w:p>
    <w:p>
      <w:pPr>
        <w:pStyle w:val="Normal"/>
        <w:rPr/>
      </w:pPr>
      <w:r>
        <w:rPr>
          <w:b/>
          <w:bCs/>
        </w:rPr>
        <w:t xml:space="preserve">Wholesale Implication:  </w:t>
      </w:r>
      <w:r>
        <w:rPr/>
        <w:t>The bill has language for a trading program that could add liquidity to the CA renewable market.  A renewable credit is defined as a tradable instrument, certified by the CEC, that one kWh of eligible renewable energy resource was generated.  Several elements are unclear from the language, however, such as the ability to trade the REC separately from the underlying energy.  The bill further requires that the power be sold under a direct bilateral, which could present an opportunity for the scheduling and commodity management of intermittent resources.</w:t>
      </w:r>
    </w:p>
    <w:p>
      <w:pPr>
        <w:pStyle w:val="Normal"/>
        <w:rPr/>
      </w:pPr>
      <w:r>
        <w:rPr/>
      </w:r>
    </w:p>
    <w:p>
      <w:pPr>
        <w:pStyle w:val="Normal"/>
        <w:rPr>
          <w:b/>
          <w:bCs/>
        </w:rPr>
      </w:pPr>
      <w:r>
        <w:rPr>
          <w:b/>
          <w:bCs/>
        </w:rPr>
        <w:t xml:space="preserve">Overall Concerns:  </w:t>
      </w:r>
    </w:p>
    <w:p>
      <w:pPr>
        <w:pStyle w:val="Normal"/>
        <w:numPr>
          <w:ilvl w:val="0"/>
          <w:numId w:val="2"/>
        </w:numPr>
        <w:rPr/>
      </w:pPr>
      <w:r>
        <w:rPr/>
        <w:t>The requirement for retailers to enter into a direct bilateral for the power from renewable energy and schedule it into the CA grid presents limitations and could drive up costs.</w:t>
      </w:r>
    </w:p>
    <w:p>
      <w:pPr>
        <w:pStyle w:val="Normal"/>
        <w:numPr>
          <w:ilvl w:val="0"/>
          <w:numId w:val="2"/>
        </w:numPr>
        <w:rPr/>
      </w:pPr>
      <w:r>
        <w:rPr/>
        <w:t>It’s unclear if the REC is truly separate instrument from the underlying commodity.  The above requirement indicates that it is not.  This would negatively impact, and even negate the main reasons to have a REC trading program – to provide flexibility and act as verification for the RPS.</w:t>
      </w:r>
    </w:p>
    <w:p>
      <w:pPr>
        <w:pStyle w:val="Normal"/>
        <w:numPr>
          <w:ilvl w:val="0"/>
          <w:numId w:val="2"/>
        </w:numPr>
        <w:rPr/>
      </w:pPr>
      <w:r>
        <w:rPr/>
        <w:t>The biomass definition is too limiting.  Would be difficult to detail this amount of information on a REC.  Need to have language that distinguishes whether the REC is RPS eligible or not.</w:t>
      </w:r>
    </w:p>
    <w:p>
      <w:pPr>
        <w:pStyle w:val="Normal"/>
        <w:numPr>
          <w:ilvl w:val="0"/>
          <w:numId w:val="2"/>
        </w:numPr>
        <w:rPr/>
      </w:pPr>
      <w:r>
        <w:rPr/>
        <w:t>Utilities are given preferential treatment in proposed language in that utilities can recover costs through rate base and the Department of Water Resources (SB 532 only) is instructed to purchase renewables on their behalf if it is cost prohibitive for the utilities.</w:t>
      </w:r>
    </w:p>
    <w:p>
      <w:pPr>
        <w:pStyle w:val="Normal"/>
        <w:numPr>
          <w:ilvl w:val="0"/>
          <w:numId w:val="2"/>
        </w:numPr>
        <w:rPr/>
      </w:pPr>
      <w:r>
        <w:rPr/>
        <w:t>While the cost cap is positive from a retail perspective, it might be out of the market from a wholesale perspective to cover the renewable premiums for new sources.</w:t>
      </w:r>
    </w:p>
    <w:p>
      <w:pPr>
        <w:pStyle w:val="Normal"/>
        <w:rPr/>
      </w:pPr>
      <w:r>
        <w:rPr/>
      </w:r>
    </w:p>
    <w:p>
      <w:pPr>
        <w:pStyle w:val="Normal"/>
        <w:rPr/>
      </w:pPr>
      <w:r>
        <w:rPr>
          <w:b/>
          <w:bCs/>
        </w:rPr>
        <w:t>Other California Renewable News:</w:t>
        <w:br/>
      </w:r>
      <w:r>
        <w:rPr/>
        <w:t xml:space="preserve">1. CEC submitted their renewable incentive plan to the legislature in June, which is a continuation of the SBC funds allotting $135 million over the next 10 years to new, existing and emerging renewable technologies and to bring down the cost of purchasing renewable for end-use customers (customer credit program).  </w:t>
      </w:r>
      <w:hyperlink r:id="rId3">
        <w:r>
          <w:rPr>
            <w:rStyle w:val="Hyperlink"/>
          </w:rPr>
          <w:t>http://www.energy.ca.gov/renewables/00-REN-1194/documents/index.html</w:t>
        </w:r>
      </w:hyperlink>
      <w:r>
        <w:rPr/>
        <w:t xml:space="preserve">  </w:t>
      </w:r>
    </w:p>
    <w:p>
      <w:pPr>
        <w:pStyle w:val="Normal"/>
        <w:rPr/>
      </w:pPr>
      <w:r>
        <w:rPr/>
      </w:r>
    </w:p>
    <w:p>
      <w:pPr>
        <w:pStyle w:val="Normal"/>
        <w:rPr/>
      </w:pPr>
      <w:r>
        <w:rPr/>
        <w:t xml:space="preserve">2. Governor Davis backs plan to increase the state renewable mix from 12 to 17% by 2006.   </w:t>
      </w:r>
    </w:p>
    <w:p>
      <w:pPr>
        <w:pStyle w:val="content"/>
        <w:ind w:start="720" w:end="0"/>
        <w:rPr>
          <w:rFonts w:ascii="Arial" w:hAnsi="Arial" w:cs="Arial"/>
          <w:sz w:val="20"/>
          <w:szCs w:val="20"/>
        </w:rPr>
      </w:pPr>
      <w:r>
        <w:rPr>
          <w:rFonts w:cs="Arial" w:ascii="Arial" w:hAnsi="Arial"/>
          <w:sz w:val="20"/>
          <w:szCs w:val="20"/>
        </w:rPr>
        <w:t>"Renewable power has long provided a major contribution to our energy supply," Governor Gray Davis. "Today, 12 percent of all our energy comes from renewable sources - a higher percentage than any other state in America. I am committed to making renewable energy an even bigger part of our long-term energy picture. By increasing our usage of renewables to 17 percent by 2006, we can fuel our economy without despoiling our environment."</w:t>
      </w:r>
    </w:p>
    <w:p>
      <w:pPr>
        <w:pStyle w:val="Normal"/>
        <w:rPr>
          <w:rFonts w:ascii="Arial" w:hAnsi="Arial" w:cs="Arial"/>
          <w:sz w:val="20"/>
          <w:szCs w:val="20"/>
        </w:rPr>
      </w:pPr>
      <w:r>
        <w:rPr>
          <w:rFonts w:cs="Arial" w:ascii="Arial" w:hAnsi="Arial"/>
          <w:sz w:val="20"/>
          <w:szCs w:val="20"/>
        </w:rPr>
      </w:r>
    </w:p>
    <w:p>
      <w:pPr>
        <w:pStyle w:val="Normal"/>
        <w:rPr/>
      </w:pPr>
      <w:r>
        <w:rPr/>
      </w:r>
    </w:p>
    <w:p>
      <w:pPr>
        <w:pStyle w:val="Normal"/>
        <w:rPr/>
      </w:pPr>
      <w:r>
        <w:rPr/>
        <w:t>Stacey Bolton</w:t>
      </w:r>
    </w:p>
    <w:p>
      <w:pPr>
        <w:pStyle w:val="Normal"/>
        <w:rPr/>
      </w:pPr>
      <w:r>
        <w:rPr/>
        <w:t>Environmental Strategies</w:t>
      </w:r>
    </w:p>
    <w:p>
      <w:pPr>
        <w:pStyle w:val="Normal"/>
        <w:rPr/>
      </w:pPr>
      <w:r>
        <w:rPr/>
        <w:t>Enron Corp.</w:t>
      </w:r>
    </w:p>
    <w:p>
      <w:pPr>
        <w:pStyle w:val="Normal"/>
        <w:rPr/>
      </w:pPr>
      <w:r>
        <w:rPr/>
        <w:t>3-9916</w:t>
      </w:r>
    </w:p>
    <w:p>
      <w:pPr>
        <w:pStyle w:val="Normal"/>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hyperlink r:id="rId1">
        <w:r>
          <w:rPr>
            <w:rStyle w:val="Hyperlink"/>
            <w:rFonts w:cs="Arial" w:ascii="Arial" w:hAnsi="Arial"/>
          </w:rPr>
          <w:t>http://www.energy.ca.gov/renewables/new_renewables_table.html</w:t>
        </w:r>
      </w:hyperlink>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36"/>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bCs/>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content">
    <w:name w:val="content"/>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iso.com/docs/2001/04/06/2001040615482125557.pdf" TargetMode="External"/><Relationship Id="rId3" Type="http://schemas.openxmlformats.org/officeDocument/2006/relationships/hyperlink" Target="http://www.energy.ca.gov/renewables/00-REN-1194/documents/index.html"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nergy.ca.gov/renewables/new_renewables_table.html"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2001-08-27T18:47:00Z</dcterms:created>
  <dc:creator>sbolton</dc:creator>
  <dc:description/>
  <dc:language>en-CA</dc:language>
  <cp:lastModifiedBy>sbolton</cp:lastModifiedBy>
  <cp:lastPrinted>2001-08-28T16:03:00Z</cp:lastPrinted>
  <dcterms:modified xsi:type="dcterms:W3CDTF">2001-08-28T19:55:00Z</dcterms:modified>
  <cp:revision>19</cp:revision>
  <dc:subject/>
  <dc:title>RPS Comments:</dc:title>
</cp:coreProperties>
</file>