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Responses of The New Power Company</w:t>
      </w:r>
    </w:p>
    <w:p>
      <w:pPr>
        <w:pStyle w:val="Normal"/>
        <w:jc w:val="center"/>
        <w:rPr>
          <w:b/>
        </w:rPr>
      </w:pPr>
      <w:r>
        <w:rPr>
          <w:b/>
        </w:rPr>
      </w:r>
    </w:p>
    <w:p>
      <w:pPr>
        <w:pStyle w:val="Normal"/>
        <w:spacing w:lineRule="auto" w:line="480"/>
        <w:rPr/>
      </w:pPr>
      <w:r>
        <w:rPr>
          <w:b/>
        </w:rPr>
        <w:tab/>
      </w:r>
      <w:r>
        <w:rPr/>
        <w:t>These are the Responses of The New Power Company (“NewPower”) to the Order Instituting Investigation into the operations and practices of companies affiliated with Enron Corp.  The Commission instituted this investigation to gather facts to assess the effects of the financial status of a number of companies, including NewPower, on California energy customers after Enron Corp and a number of its subsidiaries declared bankruptcy.</w:t>
      </w:r>
    </w:p>
    <w:p>
      <w:pPr>
        <w:pStyle w:val="Normal"/>
        <w:spacing w:lineRule="auto" w:line="480"/>
        <w:ind w:firstLine="360" w:end="0"/>
        <w:rPr/>
      </w:pPr>
      <w:r>
        <w:rPr/>
        <w:t>As a preliminary matter, it should be noted that NewPower is not a wholly owned subsidiary of Enron Corp nor any of its affiliates or subsidiaries nor was NewPower one of the entities which declared bankruptcy on December 2, 2001.  NewPower is a separate, publicly traded company in which Enron Corp is a shareholder.  NewPower and Enron share no officers or employees.  Only three of ten seats on NewPower’s Board of Directors are held by Enron employees and, as such, they do not provide Enron an opportunity to control NewPower.</w:t>
      </w:r>
    </w:p>
    <w:p>
      <w:pPr>
        <w:pStyle w:val="Normal"/>
        <w:spacing w:lineRule="auto" w:line="480"/>
        <w:ind w:firstLine="360" w:end="0"/>
        <w:rPr/>
      </w:pPr>
      <w:r>
        <w:rPr/>
        <w:t>NewPower is a retail provider of natural gas to residential and small commercial customers in the PG&amp;E service territory.  Although NewPower is registered with the Commission as an ESP, NewPower has never sold any electricity to any customer in California.  Its participation in the California energy markets has strictly been with regard to natural gas.</w:t>
      </w:r>
    </w:p>
    <w:p>
      <w:pPr>
        <w:pStyle w:val="Normal"/>
        <w:spacing w:lineRule="auto" w:line="480"/>
        <w:ind w:firstLine="360" w:end="0"/>
        <w:rPr/>
      </w:pPr>
      <w:r>
        <w:rPr/>
        <w:t>Prior to December 2, 2001, Enron was a major supplier of natural gas and electricity to NewPower in the ten states in which NewPower operates.  As a result of Enron’s bankruptcy, NewPower has announced, however, that it has terminated all of its commodity supply and forward contracts with Enron and its affiliates.  NewPower expects to replace that supply through contracts with other providers without missing delivery to any of its customers or suffering any material economic loss.  NewPower is current on all its supply obligations in California and the nine other states in which it serves customers.</w:t>
      </w:r>
    </w:p>
    <w:p>
      <w:pPr>
        <w:pStyle w:val="BodyTextIndent2"/>
        <w:rPr/>
      </w:pPr>
      <w:r>
        <w:rPr/>
        <w:t>Given the facts that NewPower is not one of the entities that declared bankruptcy and that it is not a wholly owned subsidiary of Enron, but rather a publicly traded company in which Enron is merely one of a number of shareholders, NewPower respectfully requests that it be exempted from further investigation in this proceeding.</w:t>
      </w:r>
      <w:r>
        <w:br w:type="page"/>
      </w:r>
    </w:p>
    <w:p>
      <w:pPr>
        <w:pStyle w:val="Heading1"/>
        <w:ind w:hanging="0" w:start="0"/>
        <w:rPr/>
      </w:pPr>
      <w:r>
        <w:rPr/>
        <w:t>Responses of NewPower to the Commission’s Questions</w:t>
      </w:r>
    </w:p>
    <w:p>
      <w:pPr>
        <w:pStyle w:val="Normal"/>
        <w:jc w:val="center"/>
        <w:rPr>
          <w:b/>
        </w:rPr>
      </w:pPr>
      <w:r>
        <w:rPr>
          <w:b/>
        </w:rPr>
      </w:r>
    </w:p>
    <w:p>
      <w:pPr>
        <w:pStyle w:val="Normal"/>
        <w:numPr>
          <w:ilvl w:val="0"/>
          <w:numId w:val="2"/>
        </w:numPr>
        <w:rPr>
          <w:b/>
        </w:rPr>
      </w:pPr>
      <w:r>
        <w:rPr>
          <w:b/>
        </w:rPr>
        <w:t>Describe the types of services provided by . . . The New Power Company. . . to California retail customers.  Describe the types of customers served by [NewPower].</w:t>
      </w:r>
    </w:p>
    <w:p>
      <w:pPr>
        <w:pStyle w:val="Normal"/>
        <w:rPr>
          <w:b/>
        </w:rPr>
      </w:pPr>
      <w:r>
        <w:rPr>
          <w:b/>
        </w:rPr>
      </w:r>
    </w:p>
    <w:p>
      <w:pPr>
        <w:pStyle w:val="Normal"/>
        <w:ind w:start="360" w:end="0"/>
        <w:rPr/>
      </w:pPr>
      <w:r>
        <w:rPr/>
        <w:t>NewPower sells natural gas to approximately 2,000</w:t>
      </w:r>
      <w:r>
        <w:rPr>
          <w:color w:val="000000"/>
        </w:rPr>
        <w:t xml:space="preserve"> residential </w:t>
      </w:r>
      <w:r>
        <w:rPr/>
        <w:t>and small commercial customers in the PG&amp;E service territory.  NewPower does not now, nor has it ever, sold electricity in any California market.</w:t>
      </w:r>
    </w:p>
    <w:p>
      <w:pPr>
        <w:pStyle w:val="Normal"/>
        <w:rPr/>
      </w:pPr>
      <w:r>
        <w:rPr/>
      </w:r>
    </w:p>
    <w:p>
      <w:pPr>
        <w:pStyle w:val="Normal"/>
        <w:numPr>
          <w:ilvl w:val="0"/>
          <w:numId w:val="2"/>
        </w:numPr>
        <w:rPr>
          <w:b/>
        </w:rPr>
      </w:pPr>
      <w:r>
        <w:rPr>
          <w:b/>
        </w:rPr>
        <w:t>What specific steps [is NewPower] taking to ensure that [NewPower’s] retail customers continue to receive reliable energy services?</w:t>
      </w:r>
    </w:p>
    <w:p>
      <w:pPr>
        <w:pStyle w:val="Normal"/>
        <w:rPr>
          <w:b/>
        </w:rPr>
      </w:pPr>
      <w:r>
        <w:rPr>
          <w:b/>
        </w:rPr>
      </w:r>
    </w:p>
    <w:p>
      <w:pPr>
        <w:pStyle w:val="BodyTextIndent"/>
        <w:rPr/>
      </w:pPr>
      <w:r>
        <w:rPr/>
        <w:t>As a result of the Enron bankruptcy, NewPower has terminated all of its commodity supply and forward contracts with Enron and its affiliates.  NewPower expects to replace that supply with product from other providers without missing delivery to customers or suffering any material economic loss.</w:t>
      </w:r>
    </w:p>
    <w:p>
      <w:pPr>
        <w:pStyle w:val="BodyTextIndent"/>
        <w:rPr/>
      </w:pPr>
      <w:r>
        <w:rPr/>
      </w:r>
    </w:p>
    <w:p>
      <w:pPr>
        <w:pStyle w:val="BodyTextIndent"/>
        <w:numPr>
          <w:ilvl w:val="0"/>
          <w:numId w:val="2"/>
        </w:numPr>
        <w:rPr>
          <w:b/>
        </w:rPr>
      </w:pPr>
      <w:r>
        <w:rPr>
          <w:b/>
        </w:rPr>
        <w:t>What financial and operational impacts, if any, do Enron’s December 2</w:t>
      </w:r>
      <w:r>
        <w:rPr>
          <w:b/>
          <w:vertAlign w:val="superscript"/>
        </w:rPr>
        <w:t>nd</w:t>
      </w:r>
      <w:r>
        <w:rPr>
          <w:b/>
        </w:rPr>
        <w:t xml:space="preserve"> petitions for bankruptcy and its financial condition have on the energy services provided by [NewPower]?</w:t>
      </w:r>
    </w:p>
    <w:p>
      <w:pPr>
        <w:pStyle w:val="BodyTextIndent"/>
        <w:rPr>
          <w:b/>
        </w:rPr>
      </w:pPr>
      <w:r>
        <w:rPr>
          <w:b/>
        </w:rPr>
      </w:r>
    </w:p>
    <w:p>
      <w:pPr>
        <w:pStyle w:val="BodyTextIndent"/>
        <w:rPr/>
      </w:pPr>
      <w:r>
        <w:rPr/>
        <w:t>None.  As stated in answer to question #2, NewPower has terminated all its contracts with Enron and has made other arrangements to serve its customers without suffering any material economic loss.  Enron is merely a shareholder in NewPower.</w:t>
      </w:r>
    </w:p>
    <w:p>
      <w:pPr>
        <w:pStyle w:val="BodyTextIndent"/>
        <w:rPr/>
      </w:pPr>
      <w:r>
        <w:rPr/>
      </w:r>
    </w:p>
    <w:p>
      <w:pPr>
        <w:pStyle w:val="BodyTextIndent"/>
        <w:numPr>
          <w:ilvl w:val="0"/>
          <w:numId w:val="2"/>
        </w:numPr>
        <w:rPr>
          <w:b/>
        </w:rPr>
      </w:pPr>
      <w:r>
        <w:rPr>
          <w:b/>
        </w:rPr>
        <w:t>Have any particular provisions been established between [NewPower], the IOUs or other alternative energy providers as a result of Enron’s petitions for bankruptcy?</w:t>
      </w:r>
    </w:p>
    <w:p>
      <w:pPr>
        <w:pStyle w:val="BodyTextIndent"/>
        <w:rPr>
          <w:b/>
        </w:rPr>
      </w:pPr>
      <w:r>
        <w:rPr>
          <w:b/>
        </w:rPr>
      </w:r>
    </w:p>
    <w:p>
      <w:pPr>
        <w:pStyle w:val="BodyTextIndent"/>
        <w:rPr/>
      </w:pPr>
      <w:r>
        <w:rPr/>
        <w:t>NewPower continues to provide natural gas to its PG&amp;E customers pursuant to applicable tariffs and contracts.  To the extent any of NewPower’s natural gas supply previously came from an Enron entity, it no longer does.</w:t>
      </w:r>
    </w:p>
    <w:p>
      <w:pPr>
        <w:pStyle w:val="BodyTextIndent"/>
        <w:rPr/>
      </w:pPr>
      <w:r>
        <w:rPr/>
      </w:r>
    </w:p>
    <w:p>
      <w:pPr>
        <w:pStyle w:val="BodyTextIndent"/>
        <w:numPr>
          <w:ilvl w:val="0"/>
          <w:numId w:val="2"/>
        </w:numPr>
        <w:rPr>
          <w:b/>
          <w:color w:val="000000"/>
        </w:rPr>
      </w:pPr>
      <w:r>
        <w:rPr>
          <w:b/>
          <w:color w:val="000000"/>
        </w:rPr>
        <w:t>What impacts, if any, do Enron’s Petitions for Bankruptcy and its financial condition have on the operations of California electric and natural gas markets, and, how would these impacts affect California energy customers?</w:t>
      </w:r>
    </w:p>
    <w:p>
      <w:pPr>
        <w:pStyle w:val="BodyTextIndent"/>
        <w:rPr>
          <w:b/>
          <w:color w:val="000000"/>
        </w:rPr>
      </w:pPr>
      <w:r>
        <w:rPr>
          <w:b/>
          <w:color w:val="000000"/>
        </w:rPr>
      </w:r>
    </w:p>
    <w:p>
      <w:pPr>
        <w:pStyle w:val="BodyTextIndent"/>
        <w:rPr>
          <w:color w:val="000000"/>
        </w:rPr>
      </w:pPr>
      <w:r>
        <w:rPr>
          <w:color w:val="000000"/>
        </w:rPr>
        <w:t>As stated previously, NewPower does not participate in the California retail electric market and is unaware of how the Enron Petition for Bankruptcy might affect California electricity consumers.  NewPower believes that the Enron bankruptcy should not have any recognizable effect on California natural gas consumers as the market for natural gas in the state is extremely liquid and vibrant and involves many well-capitalized and sophisticated firms that can serve California requirements.</w:t>
      </w:r>
    </w:p>
    <w:p>
      <w:pPr>
        <w:pStyle w:val="BodyTextIndent"/>
        <w:rPr>
          <w:color w:val="000000"/>
        </w:rPr>
      </w:pPr>
      <w:r>
        <w:rPr>
          <w:color w:val="000000"/>
        </w:rPr>
      </w:r>
    </w:p>
    <w:p>
      <w:pPr>
        <w:pStyle w:val="BodyTextIndent"/>
        <w:numPr>
          <w:ilvl w:val="0"/>
          <w:numId w:val="2"/>
        </w:numPr>
        <w:rPr>
          <w:b/>
          <w:color w:val="000000"/>
        </w:rPr>
      </w:pPr>
      <w:r>
        <w:rPr>
          <w:b/>
          <w:color w:val="000000"/>
        </w:rPr>
        <w:t>Has the manner in which [NewPower] provide[s] energy to [its] retail customers changed, since the onset of [Enron’s] financial difficulties?</w:t>
      </w:r>
    </w:p>
    <w:p>
      <w:pPr>
        <w:pStyle w:val="BodyTextIndent"/>
        <w:rPr>
          <w:b/>
          <w:color w:val="000000"/>
        </w:rPr>
      </w:pPr>
      <w:r>
        <w:rPr>
          <w:b/>
          <w:color w:val="000000"/>
        </w:rPr>
      </w:r>
    </w:p>
    <w:p>
      <w:pPr>
        <w:pStyle w:val="BodyTextIndent"/>
        <w:rPr>
          <w:color w:val="000000"/>
        </w:rPr>
      </w:pPr>
      <w:r>
        <w:rPr>
          <w:color w:val="000000"/>
        </w:rPr>
        <w:t>NewPower has no financial difficulties resulting from the Enron Petitions in Bankruptcy.  Other than changing is suppliers of natural gas, nothing has changed in the way NewPower proposes to serve its natural gas customers in California.</w:t>
      </w:r>
    </w:p>
    <w:p>
      <w:pPr>
        <w:pStyle w:val="BodyTextIndent"/>
        <w:rPr>
          <w:color w:val="000000"/>
        </w:rPr>
      </w:pPr>
      <w:r>
        <w:rPr>
          <w:color w:val="000000"/>
        </w:rPr>
      </w:r>
    </w:p>
    <w:p>
      <w:pPr>
        <w:pStyle w:val="BodyTextIndent"/>
        <w:numPr>
          <w:ilvl w:val="0"/>
          <w:numId w:val="2"/>
        </w:numPr>
        <w:rPr>
          <w:b/>
          <w:color w:val="000000"/>
        </w:rPr>
      </w:pPr>
      <w:r>
        <w:rPr>
          <w:b/>
          <w:color w:val="000000"/>
        </w:rPr>
        <w:t>Have Enron and its affiliates increased their reliance on the ISO to provide electric power for their retail customers?  If so, what are the implications of this for Enron’s customers and the customers of other providers, including the customers of the IOUs?</w:t>
      </w:r>
    </w:p>
    <w:p>
      <w:pPr>
        <w:pStyle w:val="BodyTextIndent"/>
        <w:rPr>
          <w:b/>
          <w:color w:val="000000"/>
        </w:rPr>
      </w:pPr>
      <w:r>
        <w:rPr>
          <w:b/>
          <w:color w:val="000000"/>
        </w:rPr>
      </w:r>
    </w:p>
    <w:p>
      <w:pPr>
        <w:pStyle w:val="BodyTextIndent"/>
        <w:rPr>
          <w:color w:val="000000"/>
        </w:rPr>
      </w:pPr>
      <w:r>
        <w:rPr>
          <w:color w:val="000000"/>
        </w:rPr>
        <w:t>NewPower cannot speak to Enron’s use of the ISO as NewPower has no electric sales in California.  Neither can NewPower speak to the effects on electric customers in California in general.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uto" w:line="480"/>
      <w:ind w:firstLine="360" w:start="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2001-12-12T15:52:00Z</dcterms:created>
  <dc:creator>kathleen E. Magruder</dc:creator>
  <dc:description/>
  <dc:language>en-CA</dc:language>
  <cp:lastModifiedBy>kathleen E. Magruder</cp:lastModifiedBy>
  <dcterms:modified xsi:type="dcterms:W3CDTF">2001-12-15T14:55:00Z</dcterms:modified>
  <cp:revision>3</cp:revision>
  <dc:subject/>
  <dc:title/>
</cp:coreProperties>
</file>