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spacing w:before="60" w:after="60"/>
        <w:jc w:val="both"/>
        <w:rPr>
          <w:b/>
          <w:bCs/>
          <w:sz w:val="22"/>
          <w:szCs w:val="22"/>
          <w:u w:val="single"/>
        </w:rPr>
      </w:pPr>
      <w:r>
        <w:rPr>
          <w:b/>
          <w:bCs/>
          <w:sz w:val="22"/>
          <w:szCs w:val="22"/>
          <w:u w:val="single"/>
        </w:rPr>
        <w:t>Item 1 (Primary Reviewer of Data:  Elizabeth Brown)</w:t>
      </w:r>
    </w:p>
    <w:p>
      <w:pPr>
        <w:pStyle w:val="Normal"/>
        <w:numPr>
          <w:ilvl w:val="0"/>
          <w:numId w:val="7"/>
        </w:numPr>
        <w:spacing w:before="60" w:after="60"/>
        <w:jc w:val="both"/>
        <w:rPr>
          <w:sz w:val="22"/>
          <w:szCs w:val="22"/>
        </w:rPr>
      </w:pPr>
      <w:r>
        <w:rPr>
          <w:sz w:val="22"/>
          <w:szCs w:val="22"/>
        </w:rPr>
        <w:t>No issue – TW will report by gas day all Contract Numbers with primary delivery to California or with nominations on an interruptible or alternate firm basis to California.</w:t>
      </w:r>
    </w:p>
    <w:p>
      <w:pPr>
        <w:pStyle w:val="Normal"/>
        <w:numPr>
          <w:ilvl w:val="0"/>
          <w:numId w:val="7"/>
        </w:numPr>
        <w:spacing w:before="60" w:after="60"/>
        <w:jc w:val="both"/>
        <w:rPr>
          <w:sz w:val="22"/>
          <w:szCs w:val="22"/>
        </w:rPr>
      </w:pPr>
      <w:r>
        <w:rPr>
          <w:sz w:val="22"/>
          <w:szCs w:val="22"/>
        </w:rPr>
        <w:t>Contract Effective Date shall mean the contract execution date, which will be captured manually via Excel spreadsheet until Transwestern comes up in the new contract system in January 2002. (contact: Contract Administration)</w:t>
      </w:r>
    </w:p>
    <w:p>
      <w:pPr>
        <w:pStyle w:val="Normal"/>
        <w:numPr>
          <w:ilvl w:val="0"/>
          <w:numId w:val="7"/>
        </w:numPr>
        <w:spacing w:before="60" w:after="60"/>
        <w:jc w:val="both"/>
        <w:rPr>
          <w:sz w:val="22"/>
          <w:szCs w:val="22"/>
        </w:rPr>
      </w:pPr>
      <w:r>
        <w:rPr>
          <w:sz w:val="22"/>
          <w:szCs w:val="22"/>
        </w:rPr>
        <w:t>For firm agreements, Contract Demand shall mean the total contract MDQ regardless of primary delivery point.  For interruptible contracts, the lesser of the volume requested by shipper and approved by credit will be reported in order to be consistent with current Transactional Report postings.</w:t>
      </w:r>
    </w:p>
    <w:p>
      <w:pPr>
        <w:pStyle w:val="Normal"/>
        <w:numPr>
          <w:ilvl w:val="0"/>
          <w:numId w:val="7"/>
        </w:numPr>
        <w:spacing w:before="60" w:after="60"/>
        <w:jc w:val="both"/>
        <w:rPr>
          <w:sz w:val="22"/>
          <w:szCs w:val="22"/>
        </w:rPr>
      </w:pPr>
      <w:r>
        <w:rPr>
          <w:sz w:val="22"/>
          <w:szCs w:val="22"/>
        </w:rPr>
        <w:t>The Daily Scheduled Volume by Shipper will capture contracts with scheduled deliveries to one of the four physical points in California or the California Market Pool point, where the corresponding receipts are from any location (including zero due to make-up and PNR points) other than the four physical points in California.</w:t>
      </w:r>
    </w:p>
    <w:p>
      <w:pPr>
        <w:pStyle w:val="Normal"/>
        <w:numPr>
          <w:ilvl w:val="0"/>
          <w:numId w:val="7"/>
        </w:numPr>
        <w:spacing w:before="60" w:after="60"/>
        <w:jc w:val="both"/>
        <w:rPr>
          <w:sz w:val="22"/>
          <w:szCs w:val="22"/>
        </w:rPr>
      </w:pPr>
      <w:r>
        <w:rPr>
          <w:sz w:val="22"/>
          <w:szCs w:val="22"/>
        </w:rPr>
        <w:t>The Daily Nominated Volume by Shipper will be handled similar to Item 1d above.</w:t>
      </w:r>
    </w:p>
    <w:p>
      <w:pPr>
        <w:pStyle w:val="Normal"/>
        <w:numPr>
          <w:ilvl w:val="0"/>
          <w:numId w:val="7"/>
        </w:numPr>
        <w:spacing w:before="60" w:after="60"/>
        <w:jc w:val="both"/>
        <w:rPr>
          <w:sz w:val="22"/>
          <w:szCs w:val="22"/>
        </w:rPr>
      </w:pPr>
      <w:r>
        <w:rPr>
          <w:sz w:val="22"/>
          <w:szCs w:val="22"/>
        </w:rPr>
        <w:t>The Daily Delivered Volume by Shipper will always equal the volume being reported under Item 1d above because TW has OBA’s at all interconnects.</w:t>
      </w:r>
    </w:p>
    <w:p>
      <w:pPr>
        <w:pStyle w:val="Normal"/>
        <w:numPr>
          <w:ilvl w:val="0"/>
          <w:numId w:val="7"/>
        </w:numPr>
        <w:spacing w:before="60" w:after="60"/>
        <w:jc w:val="both"/>
        <w:rPr>
          <w:sz w:val="22"/>
          <w:szCs w:val="22"/>
        </w:rPr>
      </w:pPr>
      <w:r>
        <w:rPr>
          <w:sz w:val="22"/>
          <w:szCs w:val="22"/>
        </w:rPr>
        <w:t>No issue with Firm or Interruptible status of a contract</w:t>
      </w:r>
    </w:p>
    <w:p>
      <w:pPr>
        <w:pStyle w:val="Normal"/>
        <w:numPr>
          <w:ilvl w:val="0"/>
          <w:numId w:val="7"/>
        </w:numPr>
        <w:spacing w:before="60" w:after="60"/>
        <w:jc w:val="both"/>
        <w:rPr>
          <w:sz w:val="22"/>
          <w:szCs w:val="22"/>
          <w:u w:val="single"/>
        </w:rPr>
      </w:pPr>
      <w:r>
        <w:rPr>
          <w:sz w:val="22"/>
          <w:szCs w:val="22"/>
        </w:rPr>
        <w:t>Rate Charged for firm contracts specifically associated with deliveries to California will be stored under a newly created charge code and will be maintained by the Commercial group.  Rate Charged for interruptible contracts will be captured similar to Transactional Report posting. (point person: Lindy Donoho)</w:t>
      </w:r>
    </w:p>
    <w:p>
      <w:pPr>
        <w:pStyle w:val="Normal"/>
        <w:numPr>
          <w:ilvl w:val="0"/>
          <w:numId w:val="7"/>
        </w:numPr>
        <w:spacing w:before="60" w:after="60"/>
        <w:jc w:val="both"/>
        <w:rPr>
          <w:sz w:val="22"/>
          <w:szCs w:val="22"/>
          <w:u w:val="single"/>
        </w:rPr>
      </w:pPr>
      <w:r>
        <w:rPr>
          <w:sz w:val="22"/>
          <w:szCs w:val="22"/>
        </w:rPr>
        <w:t>No issue with Primary Receipt and Delivery Points</w:t>
      </w:r>
    </w:p>
    <w:p>
      <w:pPr>
        <w:pStyle w:val="Normal"/>
        <w:numPr>
          <w:ilvl w:val="0"/>
          <w:numId w:val="7"/>
        </w:numPr>
        <w:spacing w:before="60" w:after="60"/>
        <w:jc w:val="both"/>
        <w:rPr>
          <w:sz w:val="22"/>
          <w:szCs w:val="22"/>
          <w:u w:val="single"/>
        </w:rPr>
      </w:pPr>
      <w:r>
        <w:rPr>
          <w:sz w:val="22"/>
          <w:szCs w:val="22"/>
        </w:rPr>
        <w:t>No issue with Shipper Affiliation with the Pipeline</w:t>
      </w:r>
    </w:p>
    <w:p>
      <w:pPr>
        <w:pStyle w:val="Normal"/>
        <w:numPr>
          <w:ilvl w:val="0"/>
          <w:numId w:val="3"/>
        </w:numPr>
        <w:spacing w:before="60" w:after="60"/>
        <w:jc w:val="both"/>
        <w:rPr>
          <w:b/>
          <w:bCs/>
          <w:sz w:val="22"/>
          <w:szCs w:val="22"/>
          <w:u w:val="single"/>
        </w:rPr>
      </w:pPr>
      <w:r>
        <w:rPr>
          <w:b/>
          <w:bCs/>
          <w:sz w:val="22"/>
          <w:szCs w:val="22"/>
          <w:u w:val="single"/>
        </w:rPr>
        <w:t>Item 2a-f (Primary Reviewer of Data:  Elizabeth Brown)</w:t>
      </w:r>
    </w:p>
    <w:p>
      <w:pPr>
        <w:pStyle w:val="Normal"/>
        <w:numPr>
          <w:ilvl w:val="0"/>
          <w:numId w:val="4"/>
        </w:numPr>
        <w:spacing w:before="60" w:after="60"/>
        <w:jc w:val="both"/>
        <w:rPr>
          <w:sz w:val="22"/>
          <w:szCs w:val="22"/>
        </w:rPr>
      </w:pPr>
      <w:r>
        <w:rPr>
          <w:sz w:val="22"/>
          <w:szCs w:val="22"/>
        </w:rPr>
        <w:t>TW will provide information on all capacity release transactions in effect for the month being reported.</w:t>
      </w:r>
    </w:p>
    <w:p>
      <w:pPr>
        <w:pStyle w:val="Normal"/>
        <w:numPr>
          <w:ilvl w:val="0"/>
          <w:numId w:val="5"/>
        </w:numPr>
        <w:spacing w:before="60" w:after="60"/>
        <w:jc w:val="both"/>
        <w:rPr>
          <w:b/>
          <w:bCs/>
          <w:sz w:val="22"/>
          <w:szCs w:val="22"/>
          <w:u w:val="single"/>
        </w:rPr>
      </w:pPr>
      <w:r>
        <w:rPr>
          <w:b/>
          <w:bCs/>
          <w:sz w:val="22"/>
          <w:szCs w:val="22"/>
          <w:u w:val="single"/>
        </w:rPr>
        <w:t>Item 3 (Primary Reviewers of Data:  Terry Kowalke and Darrell Schoolcraft)</w:t>
      </w:r>
    </w:p>
    <w:p>
      <w:pPr>
        <w:pStyle w:val="Normal"/>
        <w:numPr>
          <w:ilvl w:val="0"/>
          <w:numId w:val="6"/>
        </w:numPr>
        <w:spacing w:before="60" w:after="60"/>
        <w:jc w:val="both"/>
        <w:rPr>
          <w:sz w:val="22"/>
          <w:szCs w:val="22"/>
        </w:rPr>
      </w:pPr>
      <w:r>
        <w:rPr>
          <w:sz w:val="22"/>
          <w:szCs w:val="22"/>
        </w:rPr>
        <w:t>System information requested in Item 3 pertains to mainline capacity going west only.</w:t>
      </w:r>
    </w:p>
    <w:p>
      <w:pPr>
        <w:pStyle w:val="Normal"/>
        <w:numPr>
          <w:ilvl w:val="0"/>
          <w:numId w:val="2"/>
        </w:numPr>
        <w:spacing w:before="60" w:after="60"/>
        <w:jc w:val="both"/>
        <w:rPr>
          <w:sz w:val="22"/>
          <w:szCs w:val="22"/>
        </w:rPr>
      </w:pPr>
      <w:r>
        <w:rPr>
          <w:sz w:val="22"/>
          <w:szCs w:val="22"/>
        </w:rPr>
        <w:t xml:space="preserve">Maximum Peak Day Design Capacity - Keith Petersen confirmed that the 1998, 1999 and 2000 annual capacity report filed with the FERC every </w:t>
      </w:r>
      <w:r>
        <w:rPr>
          <w:b/>
          <w:bCs/>
          <w:color w:val="0000FF"/>
          <w:sz w:val="22"/>
          <w:szCs w:val="22"/>
        </w:rPr>
        <w:t>March 1</w:t>
      </w:r>
      <w:r>
        <w:rPr>
          <w:b/>
          <w:bCs/>
          <w:color w:val="0000FF"/>
          <w:sz w:val="22"/>
          <w:szCs w:val="22"/>
          <w:vertAlign w:val="superscript"/>
        </w:rPr>
        <w:t>st</w:t>
      </w:r>
      <w:r>
        <w:rPr>
          <w:sz w:val="22"/>
          <w:szCs w:val="22"/>
        </w:rPr>
        <w:t xml:space="preserve"> represents certificated capacity of 1090 MMCFD for mainline to west flow.</w:t>
      </w:r>
    </w:p>
    <w:p>
      <w:pPr>
        <w:pStyle w:val="Normal"/>
        <w:numPr>
          <w:ilvl w:val="0"/>
          <w:numId w:val="2"/>
        </w:numPr>
        <w:spacing w:before="60" w:after="60"/>
        <w:jc w:val="both"/>
        <w:rPr>
          <w:sz w:val="22"/>
          <w:szCs w:val="22"/>
        </w:rPr>
      </w:pPr>
      <w:r>
        <w:rPr>
          <w:sz w:val="22"/>
          <w:szCs w:val="22"/>
        </w:rPr>
        <w:t>The Daily Maximum Flowing Capacity will reflect the operational capacity defined during the final cycle exclusive of flow rate adjustments.  Manual review of data extracted vs. website posting for gas days August 1-14 will be required.  Enhancements migrated in mid-August. (point person:  Terry Kowalke)</w:t>
      </w:r>
    </w:p>
    <w:p>
      <w:pPr>
        <w:pStyle w:val="Normal"/>
        <w:numPr>
          <w:ilvl w:val="0"/>
          <w:numId w:val="2"/>
        </w:numPr>
        <w:spacing w:before="60" w:after="60"/>
        <w:jc w:val="both"/>
        <w:rPr>
          <w:sz w:val="22"/>
          <w:szCs w:val="22"/>
        </w:rPr>
      </w:pPr>
      <w:r>
        <w:rPr>
          <w:sz w:val="22"/>
          <w:szCs w:val="22"/>
        </w:rPr>
        <w:t>No issue with Daily Scheduled System Volume.  This should be in sync with the sum of each physical delivery point West of Thoreau on the website postings.</w:t>
      </w:r>
    </w:p>
    <w:p>
      <w:pPr>
        <w:pStyle w:val="Normal"/>
        <w:numPr>
          <w:ilvl w:val="0"/>
          <w:numId w:val="2"/>
        </w:numPr>
        <w:spacing w:before="60" w:after="60"/>
        <w:jc w:val="both"/>
        <w:rPr>
          <w:sz w:val="22"/>
          <w:szCs w:val="22"/>
        </w:rPr>
      </w:pPr>
      <w:r>
        <w:rPr>
          <w:sz w:val="22"/>
          <w:szCs w:val="22"/>
        </w:rPr>
        <w:t>The Daily Delivered System Volume will always equal the volume being reported under Item 3c above since TW has OBA’s at all interconnects.</w:t>
      </w:r>
    </w:p>
    <w:p>
      <w:pPr>
        <w:pStyle w:val="Normal"/>
        <w:numPr>
          <w:ilvl w:val="0"/>
          <w:numId w:val="2"/>
        </w:numPr>
        <w:spacing w:before="60" w:after="60"/>
        <w:jc w:val="both"/>
        <w:rPr>
          <w:sz w:val="22"/>
          <w:szCs w:val="22"/>
        </w:rPr>
      </w:pPr>
      <w:r>
        <w:rPr>
          <w:sz w:val="22"/>
          <w:szCs w:val="22"/>
        </w:rPr>
        <w:t>The Daily Scheduled Volume at each California Delivery Point will be in sync with the website postings of each physical delivery point in California.  There will be a discrepancy between the sum of all points under this Item 3e and the sum of all shipper contracts under Item 1d above, since we are not required to report scheduled volumes on capacity release acquisitions.</w:t>
      </w:r>
    </w:p>
    <w:p>
      <w:pPr>
        <w:pStyle w:val="Normal"/>
        <w:numPr>
          <w:ilvl w:val="0"/>
          <w:numId w:val="2"/>
        </w:numPr>
        <w:spacing w:before="60" w:after="60"/>
        <w:jc w:val="both"/>
        <w:rPr>
          <w:sz w:val="22"/>
          <w:szCs w:val="22"/>
        </w:rPr>
      </w:pPr>
      <w:r>
        <w:rPr>
          <w:sz w:val="22"/>
          <w:szCs w:val="22"/>
        </w:rPr>
        <w:t>Explanations of Variances between Item 3a and 3b – If variance, TW Schedulers will capture comments within TMS based on discussions with Darrell/Gary.  CAS comment field enhancement probably will not occur until sometime next year.</w:t>
      </w:r>
    </w:p>
    <w:p>
      <w:pPr>
        <w:pStyle w:val="Normal"/>
        <w:numPr>
          <w:ilvl w:val="0"/>
          <w:numId w:val="2"/>
        </w:numPr>
        <w:spacing w:before="60" w:after="60"/>
        <w:jc w:val="both"/>
        <w:rPr>
          <w:sz w:val="22"/>
          <w:szCs w:val="22"/>
        </w:rPr>
      </w:pPr>
      <w:r>
        <w:rPr>
          <w:sz w:val="22"/>
          <w:szCs w:val="22"/>
        </w:rPr>
        <w:t>Explanations of Daily Variances in the Max Flowing Capacity (Item 3b) – If fluctuation occurs, TW Schedulers will handle similar to Item 3f above.</w:t>
      </w:r>
    </w:p>
    <w:p>
      <w:pPr>
        <w:pStyle w:val="Normal"/>
        <w:numPr>
          <w:ilvl w:val="0"/>
          <w:numId w:val="5"/>
        </w:numPr>
        <w:spacing w:before="60" w:after="60"/>
        <w:jc w:val="both"/>
        <w:rPr>
          <w:b/>
          <w:bCs/>
          <w:sz w:val="22"/>
          <w:szCs w:val="22"/>
          <w:u w:val="single"/>
        </w:rPr>
      </w:pPr>
      <w:r>
        <w:rPr>
          <w:b/>
          <w:bCs/>
          <w:sz w:val="22"/>
          <w:szCs w:val="22"/>
          <w:u w:val="single"/>
        </w:rPr>
        <w:t xml:space="preserve">Item 4a-e (Primary Reviewers of Data:  Elizabeth Brown and Rita Bianchi) </w:t>
      </w:r>
    </w:p>
    <w:p>
      <w:pPr>
        <w:pStyle w:val="Normal"/>
        <w:numPr>
          <w:ilvl w:val="0"/>
          <w:numId w:val="8"/>
        </w:numPr>
        <w:spacing w:before="60" w:after="60"/>
        <w:jc w:val="both"/>
        <w:rPr>
          <w:sz w:val="22"/>
          <w:szCs w:val="22"/>
        </w:rPr>
      </w:pPr>
      <w:r>
        <w:rPr>
          <w:sz w:val="22"/>
          <w:szCs w:val="22"/>
        </w:rPr>
        <w:t>System information requested in Item 4 pertains to mainline capacity going west only.  Reporting is required for May 1999 and May 2000 only, per the data template provided by the FERC.  Comparison of data extracted with previous data requests and website postings will be required.</w:t>
      </w:r>
    </w:p>
    <w:sectPr>
      <w:headerReference w:type="default" r:id="rId2"/>
      <w:footerReference w:type="default" r:id="rId3"/>
      <w:type w:val="nextPage"/>
      <w:pgSz w:w="12240" w:h="15840"/>
      <w:pgMar w:left="720" w:right="1440"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FERC Requirements for California Market Reporting</w:t>
    </w:r>
  </w:p>
  <w:p>
    <w:pPr>
      <w:pStyle w:val="Header"/>
      <w:jc w:val="center"/>
      <w:rPr>
        <w:b/>
        <w:bCs/>
      </w:rPr>
    </w:pPr>
    <w:r>
      <w:rPr>
        <w:b/>
        <w:bCs/>
      </w:rPr>
      <w:t>Resolution of Issues</w:t>
    </w:r>
  </w:p>
  <w:p>
    <w:pPr>
      <w:pStyle w:val="Header"/>
      <w:jc w:val="center"/>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Wingdings" w:hAnsi="Wingdings" w:cs="Wingdings" w:hint="default"/>
      </w:rPr>
    </w:lvl>
  </w:abstractNum>
  <w:abstractNum w:abstractNumId="2">
    <w:lvl w:ilvl="0">
      <w:start w:val="1"/>
      <w:numFmt w:val="lowerLetter"/>
      <w:lvlText w:val="%1."/>
      <w:lvlJc w:val="start"/>
      <w:pPr>
        <w:tabs>
          <w:tab w:val="num" w:pos="1440"/>
        </w:tabs>
        <w:ind w:start="1440" w:hanging="360"/>
      </w:pPr>
    </w:lvl>
  </w:abstractNum>
  <w:abstractNum w:abstractNumId="3">
    <w:lvl w:ilvl="0">
      <w:start w:val="1"/>
      <w:numFmt w:val="bullet"/>
      <w:lvlText w:val=""/>
      <w:lvlJc w:val="start"/>
      <w:pPr>
        <w:tabs>
          <w:tab w:val="num" w:pos="1080"/>
        </w:tabs>
        <w:ind w:start="1080" w:hanging="360"/>
      </w:pPr>
      <w:rPr>
        <w:rFonts w:ascii="Wingdings" w:hAnsi="Wingdings" w:cs="Wingdings" w:hint="default"/>
      </w:rPr>
    </w:lvl>
  </w:abstractNum>
  <w:abstractNum w:abstractNumId="4">
    <w:lvl w:ilvl="0">
      <w:start w:val="1"/>
      <w:numFmt w:val="bullet"/>
      <w:lvlText w:val=""/>
      <w:lvlJc w:val="start"/>
      <w:pPr>
        <w:tabs>
          <w:tab w:val="num" w:pos="1440"/>
        </w:tabs>
        <w:ind w:start="1440" w:hanging="360"/>
      </w:pPr>
      <w:rPr>
        <w:rFonts w:ascii="Wingdings" w:hAnsi="Wingdings" w:cs="Wingdings" w:hint="default"/>
      </w:rPr>
    </w:lvl>
  </w:abstractNum>
  <w:abstractNum w:abstractNumId="5">
    <w:lvl w:ilvl="0">
      <w:start w:val="1"/>
      <w:numFmt w:val="bullet"/>
      <w:lvlText w:val=""/>
      <w:lvlJc w:val="start"/>
      <w:pPr>
        <w:tabs>
          <w:tab w:val="num" w:pos="1080"/>
        </w:tabs>
        <w:ind w:start="1080" w:hanging="360"/>
      </w:pPr>
      <w:rPr>
        <w:rFonts w:ascii="Wingdings" w:hAnsi="Wingdings" w:cs="Wingdings" w:hint="default"/>
      </w:rPr>
    </w:lvl>
  </w:abstractNum>
  <w:abstractNum w:abstractNumId="6">
    <w:lvl w:ilvl="0">
      <w:start w:val="1"/>
      <w:numFmt w:val="bullet"/>
      <w:lvlText w:val=""/>
      <w:lvlJc w:val="start"/>
      <w:pPr>
        <w:tabs>
          <w:tab w:val="num" w:pos="1440"/>
        </w:tabs>
        <w:ind w:start="1440" w:hanging="360"/>
      </w:pPr>
      <w:rPr>
        <w:rFonts w:ascii="Wingdings" w:hAnsi="Wingdings" w:cs="Wingdings" w:hint="default"/>
      </w:rPr>
    </w:lvl>
  </w:abstractNum>
  <w:abstractNum w:abstractNumId="7">
    <w:lvl w:ilvl="0">
      <w:start w:val="1"/>
      <w:numFmt w:val="lowerLetter"/>
      <w:lvlText w:val="%1."/>
      <w:lvlJc w:val="start"/>
      <w:pPr>
        <w:tabs>
          <w:tab w:val="num" w:pos="1440"/>
        </w:tabs>
        <w:ind w:start="1440" w:hanging="360"/>
      </w:pPr>
    </w:lvl>
  </w:abstractNum>
  <w:abstractNum w:abstractNumId="8">
    <w:lvl w:ilvl="0">
      <w:start w:val="1"/>
      <w:numFmt w:val="bullet"/>
      <w:lvlText w:val=""/>
      <w:lvlJc w:val="start"/>
      <w:pPr>
        <w:tabs>
          <w:tab w:val="num" w:pos="1440"/>
        </w:tabs>
        <w:ind w:start="1440" w:hanging="360"/>
      </w:pPr>
      <w:rPr>
        <w:rFonts w:ascii="Wingdings" w:hAnsi="Wingdings" w:cs="Wingdings" w:hint="default"/>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6z0">
    <w:name w:val="WW8Num6z0"/>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3z0">
    <w:name w:val="WW8Num13z0"/>
    <w:qFormat/>
    <w:rPr>
      <w:rFonts w:ascii="Wingdings" w:hAnsi="Wingdings" w:cs="Wingdings"/>
    </w:rPr>
  </w:style>
  <w:style w:type="character" w:styleId="WW8Num13z3">
    <w:name w:val="WW8Num13z3"/>
    <w:qFormat/>
    <w:rPr>
      <w:rFonts w:ascii="Symbol" w:hAnsi="Symbol" w:cs="Symbol"/>
    </w:rPr>
  </w:style>
  <w:style w:type="character" w:styleId="WW8Num13z4">
    <w:name w:val="WW8Num13z4"/>
    <w:qFormat/>
    <w:rPr>
      <w:rFonts w:ascii="Courier New" w:hAnsi="Courier New" w:cs="Courier New"/>
    </w:rPr>
  </w:style>
  <w:style w:type="character" w:styleId="WW8Num14z0">
    <w:name w:val="WW8Num14z0"/>
    <w:qFormat/>
    <w:rPr>
      <w:rFonts w:ascii="Wingdings" w:hAnsi="Wingdings" w:cs="Wingdings"/>
    </w:rPr>
  </w:style>
  <w:style w:type="character" w:styleId="WW8Num15z1">
    <w:name w:val="WW8Num15z1"/>
    <w:qFormat/>
    <w:rPr>
      <w:rFonts w:ascii="Wingdings" w:hAnsi="Wingdings" w:cs="Wingdings"/>
    </w:rPr>
  </w:style>
  <w:style w:type="character" w:styleId="WW8Num15z3">
    <w:name w:val="WW8Num15z3"/>
    <w:qFormat/>
    <w:rPr>
      <w:rFonts w:ascii="Symbol" w:hAnsi="Symbol" w:cs="Symbol"/>
    </w:rPr>
  </w:style>
  <w:style w:type="character" w:styleId="WW8Num15z4">
    <w:name w:val="WW8Num15z4"/>
    <w:qFormat/>
    <w:rPr>
      <w:rFonts w:ascii="Courier New" w:hAnsi="Courier New" w:cs="Courier New"/>
    </w:rPr>
  </w:style>
  <w:style w:type="character" w:styleId="WW8Num17z0">
    <w:name w:val="WW8Num17z0"/>
    <w:qFormat/>
    <w:rPr>
      <w:rFonts w:ascii="Wingdings" w:hAnsi="Wingdings" w:cs="Wingdings"/>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2001-08-13T10:56:00Z</dcterms:created>
  <dc:creator>ebrown1</dc:creator>
  <dc:description/>
  <dc:language>en-CA</dc:language>
  <cp:lastModifiedBy>ebrown1</cp:lastModifiedBy>
  <cp:lastPrinted>2001-08-13T14:59:00Z</cp:lastPrinted>
  <dcterms:modified xsi:type="dcterms:W3CDTF">2001-09-04T15:11:00Z</dcterms:modified>
  <cp:revision>11</cp:revision>
  <dc:subject/>
  <dc:title>FERC Requirements for California Market Reporting</dc:title>
</cp:coreProperties>
</file>