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sz w:val="22"/>
          <w:szCs w:val="22"/>
        </w:rPr>
        <w:t>FERC Requirements for California Market Reporting</w:t>
      </w:r>
    </w:p>
    <w:p>
      <w:pPr>
        <w:pStyle w:val="Normal"/>
        <w:jc w:val="center"/>
        <w:rPr>
          <w:sz w:val="22"/>
          <w:szCs w:val="22"/>
        </w:rPr>
      </w:pPr>
      <w:r>
        <w:rPr>
          <w:sz w:val="22"/>
          <w:szCs w:val="22"/>
        </w:rPr>
        <w:t>Meeting Date: August 7, 2001</w:t>
      </w:r>
    </w:p>
    <w:p>
      <w:pPr>
        <w:pStyle w:val="Normal"/>
        <w:jc w:val="center"/>
        <w:rPr>
          <w:sz w:val="22"/>
          <w:szCs w:val="22"/>
        </w:rPr>
      </w:pPr>
      <w:r>
        <w:rPr>
          <w:sz w:val="22"/>
          <w:szCs w:val="22"/>
        </w:rPr>
        <w:t>Agenda</w:t>
      </w:r>
    </w:p>
    <w:p>
      <w:pPr>
        <w:pStyle w:val="Normal"/>
        <w:spacing w:before="120" w:after="60"/>
        <w:jc w:val="center"/>
        <w:rPr>
          <w:sz w:val="22"/>
          <w:szCs w:val="22"/>
        </w:rPr>
      </w:pPr>
      <w:r>
        <w:rPr>
          <w:sz w:val="22"/>
          <w:szCs w:val="22"/>
        </w:rPr>
      </w:r>
    </w:p>
    <w:p>
      <w:pPr>
        <w:pStyle w:val="Normal"/>
        <w:numPr>
          <w:ilvl w:val="0"/>
          <w:numId w:val="2"/>
        </w:numPr>
        <w:spacing w:before="120" w:after="120"/>
        <w:jc w:val="both"/>
        <w:rPr>
          <w:sz w:val="22"/>
          <w:szCs w:val="22"/>
        </w:rPr>
      </w:pPr>
      <w:r>
        <w:rPr>
          <w:sz w:val="22"/>
          <w:szCs w:val="22"/>
        </w:rPr>
        <w:t>Review preliminary reports (separately attached in E-mail)</w:t>
      </w:r>
    </w:p>
    <w:p>
      <w:pPr>
        <w:pStyle w:val="Normal"/>
        <w:numPr>
          <w:ilvl w:val="0"/>
          <w:numId w:val="2"/>
        </w:numPr>
        <w:spacing w:before="120" w:after="120"/>
        <w:jc w:val="both"/>
        <w:rPr>
          <w:sz w:val="22"/>
          <w:szCs w:val="22"/>
        </w:rPr>
      </w:pPr>
      <w:r>
        <w:rPr>
          <w:sz w:val="22"/>
          <w:szCs w:val="22"/>
        </w:rPr>
        <w:t>Recap of issues from previous discussions that have been resolved</w:t>
      </w:r>
    </w:p>
    <w:p>
      <w:pPr>
        <w:pStyle w:val="Normal"/>
        <w:numPr>
          <w:ilvl w:val="0"/>
          <w:numId w:val="3"/>
        </w:numPr>
        <w:spacing w:before="120" w:after="120"/>
        <w:jc w:val="both"/>
        <w:rPr>
          <w:sz w:val="22"/>
          <w:szCs w:val="22"/>
        </w:rPr>
      </w:pPr>
      <w:r>
        <w:rPr>
          <w:sz w:val="22"/>
          <w:szCs w:val="22"/>
        </w:rPr>
        <w:t>Item 1b (effective date of the contract) – The contract execution date will be captured manually via Excel spreadsheet until Transwestern comes up in the new contract system (primary contact: Contract Administration).</w:t>
      </w:r>
    </w:p>
    <w:p>
      <w:pPr>
        <w:pStyle w:val="Normal"/>
        <w:numPr>
          <w:ilvl w:val="0"/>
          <w:numId w:val="3"/>
        </w:numPr>
        <w:spacing w:before="120" w:after="120"/>
        <w:jc w:val="both"/>
        <w:rPr>
          <w:sz w:val="22"/>
          <w:szCs w:val="22"/>
        </w:rPr>
      </w:pPr>
      <w:r>
        <w:rPr>
          <w:sz w:val="22"/>
          <w:szCs w:val="22"/>
        </w:rPr>
        <w:t>Item 1c (contract demand by shipper) – For interruptible contracts, the contract volume requested and approved by credit will be reported in order to be consistent with current Transactional Report postings.</w:t>
      </w:r>
    </w:p>
    <w:p>
      <w:pPr>
        <w:pStyle w:val="Normal"/>
        <w:numPr>
          <w:ilvl w:val="0"/>
          <w:numId w:val="3"/>
        </w:numPr>
        <w:spacing w:before="120" w:after="120"/>
        <w:jc w:val="both"/>
        <w:rPr>
          <w:sz w:val="22"/>
          <w:szCs w:val="22"/>
        </w:rPr>
      </w:pPr>
      <w:r>
        <w:rPr>
          <w:sz w:val="22"/>
          <w:szCs w:val="22"/>
        </w:rPr>
        <w:t>Item 1f (daily delivered volume by shipper) – This equals the volume being reported under Item 1d (daily scheduled volume by shipper).</w:t>
      </w:r>
    </w:p>
    <w:p>
      <w:pPr>
        <w:pStyle w:val="Normal"/>
        <w:numPr>
          <w:ilvl w:val="0"/>
          <w:numId w:val="3"/>
        </w:numPr>
        <w:spacing w:before="120" w:after="120"/>
        <w:jc w:val="both"/>
        <w:rPr>
          <w:sz w:val="22"/>
          <w:szCs w:val="22"/>
        </w:rPr>
      </w:pPr>
      <w:r>
        <w:rPr>
          <w:sz w:val="22"/>
          <w:szCs w:val="22"/>
        </w:rPr>
        <w:t>Item 1h (the rate charged) – Rates for firm contracts specifically associated with deliveries to California will be stored under a newly created charge code and will be maintained by Commercial group (primary contact: Lindy Donoho).  Currently testing in Model Office.</w:t>
      </w:r>
    </w:p>
    <w:p>
      <w:pPr>
        <w:pStyle w:val="Normal"/>
        <w:numPr>
          <w:ilvl w:val="0"/>
          <w:numId w:val="3"/>
        </w:numPr>
        <w:spacing w:before="120" w:after="120"/>
        <w:jc w:val="both"/>
        <w:rPr>
          <w:sz w:val="22"/>
          <w:szCs w:val="22"/>
        </w:rPr>
      </w:pPr>
      <w:r>
        <w:rPr>
          <w:sz w:val="22"/>
          <w:szCs w:val="22"/>
        </w:rPr>
        <w:t>Item 2 (capacity release data) – Will provide information on all capacity release transactions in effect for the month being reported.</w:t>
      </w:r>
    </w:p>
    <w:p>
      <w:pPr>
        <w:pStyle w:val="Normal"/>
        <w:numPr>
          <w:ilvl w:val="0"/>
          <w:numId w:val="3"/>
        </w:numPr>
        <w:spacing w:before="120" w:after="120"/>
        <w:jc w:val="both"/>
        <w:rPr>
          <w:sz w:val="22"/>
          <w:szCs w:val="22"/>
        </w:rPr>
      </w:pPr>
      <w:r>
        <w:rPr>
          <w:sz w:val="22"/>
          <w:szCs w:val="22"/>
        </w:rPr>
        <w:t>Item 3f-g (variance explanations) – TW Schedulers are updating CAS comments based on discussions with Darrell/Gary/Steve.  Still investigating CAS comment field.</w:t>
      </w:r>
    </w:p>
    <w:p>
      <w:pPr>
        <w:pStyle w:val="Normal"/>
        <w:numPr>
          <w:ilvl w:val="0"/>
          <w:numId w:val="3"/>
        </w:numPr>
        <w:spacing w:before="120" w:after="120"/>
        <w:jc w:val="both"/>
        <w:rPr>
          <w:sz w:val="22"/>
          <w:szCs w:val="22"/>
        </w:rPr>
      </w:pPr>
      <w:r>
        <w:rPr>
          <w:sz w:val="22"/>
          <w:szCs w:val="22"/>
        </w:rPr>
        <w:t>Item 4a-e – Reporting is required for May 1999 and May 2000 only, per the data template provided by the FERC.</w:t>
      </w:r>
    </w:p>
    <w:p>
      <w:pPr>
        <w:pStyle w:val="Normal"/>
        <w:numPr>
          <w:ilvl w:val="0"/>
          <w:numId w:val="2"/>
        </w:numPr>
        <w:spacing w:before="120" w:after="120"/>
        <w:jc w:val="both"/>
        <w:rPr>
          <w:sz w:val="22"/>
          <w:szCs w:val="22"/>
        </w:rPr>
      </w:pPr>
      <w:r>
        <w:rPr>
          <w:sz w:val="22"/>
          <w:szCs w:val="22"/>
        </w:rPr>
        <w:t>Outstanding issues</w:t>
      </w:r>
    </w:p>
    <w:p>
      <w:pPr>
        <w:pStyle w:val="Normal"/>
        <w:numPr>
          <w:ilvl w:val="0"/>
          <w:numId w:val="4"/>
        </w:numPr>
        <w:spacing w:before="120" w:after="120"/>
        <w:jc w:val="both"/>
        <w:rPr>
          <w:sz w:val="22"/>
          <w:szCs w:val="22"/>
        </w:rPr>
      </w:pPr>
      <w:r>
        <w:rPr>
          <w:sz w:val="22"/>
          <w:szCs w:val="22"/>
        </w:rPr>
        <w:t>Item 3a-d, Item 4a-d – When reporting system information, do we interpret this to mean the entire system or only West of Thoreau.</w:t>
      </w:r>
    </w:p>
    <w:p>
      <w:pPr>
        <w:pStyle w:val="Normal"/>
        <w:numPr>
          <w:ilvl w:val="0"/>
          <w:numId w:val="4"/>
        </w:numPr>
        <w:spacing w:before="120" w:after="120"/>
        <w:jc w:val="both"/>
        <w:rPr>
          <w:sz w:val="22"/>
          <w:szCs w:val="22"/>
        </w:rPr>
      </w:pPr>
      <w:r>
        <w:rPr>
          <w:sz w:val="22"/>
          <w:szCs w:val="22"/>
        </w:rPr>
        <w:t>Item 3b (daily max flowing capacity) – What to report and how to capture until CAS enhancement.  Is this the largest number for any given cycle in the gas day, exclusive of flow rate adjustments?  Who will be responsible for ensuring the right volume is reported? Will there be discrepancies with website postings, which store the final cycle quantity?</w:t>
      </w:r>
    </w:p>
    <w:p>
      <w:pPr>
        <w:pStyle w:val="Normal"/>
        <w:numPr>
          <w:ilvl w:val="0"/>
          <w:numId w:val="4"/>
        </w:numPr>
        <w:spacing w:before="120" w:after="120"/>
        <w:jc w:val="both"/>
        <w:rPr>
          <w:sz w:val="22"/>
          <w:szCs w:val="22"/>
        </w:rPr>
      </w:pPr>
      <w:r>
        <w:rPr>
          <w:sz w:val="22"/>
          <w:szCs w:val="22"/>
        </w:rPr>
        <w:t>Item 1d (daily scheduled volume by shipper) and Item 3e (daily scheduled volume at each CA delivery point) – Consistency approach in reporting this information based on previous data requests and discrepancies with postings to the website.</w:t>
        <w:tab/>
      </w:r>
    </w:p>
    <w:p>
      <w:pPr>
        <w:pStyle w:val="Normal"/>
        <w:numPr>
          <w:ilvl w:val="0"/>
          <w:numId w:val="1"/>
        </w:numPr>
        <w:spacing w:before="120" w:after="120"/>
        <w:jc w:val="both"/>
        <w:rPr>
          <w:sz w:val="22"/>
          <w:szCs w:val="22"/>
        </w:rPr>
      </w:pPr>
      <w:r>
        <w:rPr>
          <w:sz w:val="22"/>
          <w:szCs w:val="22"/>
        </w:rPr>
        <w:t>Interruptible contracts moving from point A to B within CA (where A may be a physical delivery point such as PG&amp;E Topock)</w:t>
      </w:r>
    </w:p>
    <w:p>
      <w:pPr>
        <w:pStyle w:val="Normal"/>
        <w:numPr>
          <w:ilvl w:val="0"/>
          <w:numId w:val="1"/>
        </w:numPr>
        <w:spacing w:before="120" w:after="120"/>
        <w:jc w:val="both"/>
        <w:rPr>
          <w:sz w:val="22"/>
          <w:szCs w:val="22"/>
        </w:rPr>
      </w:pPr>
      <w:r>
        <w:rPr>
          <w:sz w:val="22"/>
          <w:szCs w:val="22"/>
        </w:rPr>
        <w:t>Transport contract delivering to CA Market Pool point or a PNR point at the CA border</w:t>
      </w:r>
    </w:p>
    <w:p>
      <w:pPr>
        <w:pStyle w:val="Normal"/>
        <w:numPr>
          <w:ilvl w:val="0"/>
          <w:numId w:val="1"/>
        </w:numPr>
        <w:spacing w:before="120" w:after="120"/>
        <w:jc w:val="both"/>
        <w:rPr>
          <w:sz w:val="22"/>
          <w:szCs w:val="22"/>
        </w:rPr>
      </w:pPr>
      <w:r>
        <w:rPr>
          <w:sz w:val="22"/>
          <w:szCs w:val="22"/>
        </w:rPr>
        <w:t>Possible purchase/sale agreements at the CA border</w:t>
      </w:r>
    </w:p>
    <w:p>
      <w:pPr>
        <w:pStyle w:val="Normal"/>
        <w:numPr>
          <w:ilvl w:val="0"/>
          <w:numId w:val="1"/>
        </w:numPr>
        <w:spacing w:before="120" w:after="120"/>
        <w:jc w:val="both"/>
        <w:rPr>
          <w:sz w:val="22"/>
          <w:szCs w:val="22"/>
        </w:rPr>
      </w:pPr>
      <w:r>
        <w:rPr>
          <w:sz w:val="22"/>
          <w:szCs w:val="22"/>
        </w:rPr>
        <w:t>Operational realignments between PG&amp;E, Socal and TW</w:t>
      </w:r>
    </w:p>
    <w:p>
      <w:pPr>
        <w:pStyle w:val="Normal"/>
        <w:spacing w:before="120" w:after="120"/>
        <w:ind w:start="720" w:end="0"/>
        <w:rPr>
          <w:sz w:val="22"/>
          <w:szCs w:val="22"/>
        </w:rPr>
      </w:pPr>
      <w:r>
        <w:rPr>
          <w:sz w:val="22"/>
          <w:szCs w:val="22"/>
        </w:rPr>
      </w:r>
    </w:p>
    <w:sectPr>
      <w:type w:val="nextPage"/>
      <w:pgSz w:w="12240" w:h="15840"/>
      <w:pgMar w:left="1008" w:right="1296"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440"/>
        </w:tabs>
        <w:ind w:start="1440" w:hanging="360"/>
      </w:pPr>
      <w:rPr>
        <w:rFonts w:ascii="Wingdings" w:hAnsi="Wingdings" w:cs="Wingdings" w:hint="default"/>
      </w:r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abstractNum w:abstractNumId="3">
    <w:lvl w:ilvl="0">
      <w:start w:val="1"/>
      <w:numFmt w:val="decimal"/>
      <w:lvlText w:val="%1."/>
      <w:lvlJc w:val="start"/>
      <w:pPr>
        <w:tabs>
          <w:tab w:val="num" w:pos="1080"/>
        </w:tabs>
        <w:ind w:start="108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1">
    <w:name w:val="WW8Num5z1"/>
    <w:qFormat/>
    <w:rPr>
      <w:rFonts w:ascii="Wingdings" w:hAnsi="Wingdings" w:cs="Wingdings"/>
    </w:rPr>
  </w:style>
  <w:style w:type="character" w:styleId="WW8Num5z3">
    <w:name w:val="WW8Num5z3"/>
    <w:qFormat/>
    <w:rPr>
      <w:rFonts w:ascii="Symbol" w:hAnsi="Symbol" w:cs="Symbol"/>
    </w:rPr>
  </w:style>
  <w:style w:type="character" w:styleId="WW8Num5z4">
    <w:name w:val="WW8Num5z4"/>
    <w:qFormat/>
    <w:rPr>
      <w:rFonts w:ascii="Courier New" w:hAnsi="Courier New" w:cs="Courier New"/>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2001-08-06T18:53:00Z</dcterms:created>
  <dc:creator>ebrown1</dc:creator>
  <dc:description/>
  <dc:language>en-CA</dc:language>
  <cp:lastModifiedBy>ebrown1</cp:lastModifiedBy>
  <cp:lastPrinted>2001-08-06T17:52:00Z</cp:lastPrinted>
  <dcterms:modified xsi:type="dcterms:W3CDTF">2001-08-07T10:53:00Z</dcterms:modified>
  <cp:revision>8</cp:revision>
  <dc:subject/>
  <dc:title>FERC Requirements for California Market Reporting</dc:title>
</cp:coreProperties>
</file>