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spacing w:lineRule="auto" w:line="240"/>
        <w:ind w:firstLine="720" w:start="2160" w:end="0"/>
        <w:rPr>
          <w:rFonts w:ascii="Arial" w:hAnsi="Arial" w:cs="Arial"/>
          <w:b/>
        </w:rPr>
      </w:pPr>
      <w:r>
        <w:rPr>
          <w:rFonts w:cs="Arial" w:ascii="Arial" w:hAnsi="Arial"/>
          <w:b/>
        </w:rPr>
        <w:t>UNITED STATES OF AMERICA</w:t>
      </w:r>
    </w:p>
    <w:p>
      <w:pPr>
        <w:pStyle w:val="bodytext-indent"/>
        <w:spacing w:lineRule="auto" w:line="240"/>
        <w:ind w:hanging="0" w:end="0"/>
        <w:jc w:val="center"/>
        <w:rPr>
          <w:rFonts w:ascii="Arial" w:hAnsi="Arial" w:cs="Arial"/>
          <w:b/>
        </w:rPr>
      </w:pPr>
      <w:r>
        <w:rPr>
          <w:rFonts w:cs="Arial" w:ascii="Arial" w:hAnsi="Arial"/>
          <w:b/>
        </w:rPr>
        <w:t xml:space="preserve">BEFORE THE </w:t>
      </w:r>
    </w:p>
    <w:p>
      <w:pPr>
        <w:pStyle w:val="bodytext-indent"/>
        <w:spacing w:lineRule="auto" w:line="240"/>
        <w:ind w:hanging="0" w:end="0"/>
        <w:jc w:val="center"/>
        <w:rPr>
          <w:rFonts w:ascii="Arial" w:hAnsi="Arial" w:cs="Arial"/>
          <w:b/>
        </w:rPr>
      </w:pPr>
      <w:r>
        <w:rPr>
          <w:rFonts w:cs="Arial" w:ascii="Arial" w:hAnsi="Arial"/>
          <w:b/>
        </w:rPr>
        <w:t>FEDERAL ENERGY REGULATORY COMMISSION</w:t>
      </w:r>
    </w:p>
    <w:p>
      <w:pPr>
        <w:pStyle w:val="bodytext-indent"/>
        <w:spacing w:lineRule="auto" w:line="240"/>
        <w:ind w:hanging="0" w:end="0"/>
        <w:jc w:val="center"/>
        <w:rPr>
          <w:rFonts w:ascii="Arial" w:hAnsi="Arial" w:cs="Arial"/>
          <w:b/>
        </w:rPr>
      </w:pPr>
      <w:r>
        <w:rPr>
          <w:rFonts w:cs="Arial" w:ascii="Arial" w:hAnsi="Arial"/>
          <w:b/>
        </w:rPr>
      </w:r>
    </w:p>
    <w:p>
      <w:pPr>
        <w:pStyle w:val="bodytext-indent"/>
        <w:spacing w:lineRule="auto" w:line="240"/>
        <w:ind w:hanging="0" w:end="0"/>
        <w:jc w:val="center"/>
        <w:rPr>
          <w:rFonts w:ascii="Arial" w:hAnsi="Arial" w:cs="Arial"/>
          <w:b/>
        </w:rPr>
      </w:pPr>
      <w:r>
        <w:rPr>
          <w:rFonts w:cs="Arial" w:ascii="Arial" w:hAnsi="Arial"/>
          <w:b/>
        </w:rPr>
      </w:r>
    </w:p>
    <w:p>
      <w:pPr>
        <w:pStyle w:val="bodytext-indent"/>
        <w:spacing w:lineRule="auto" w:line="240"/>
        <w:ind w:hanging="0" w:end="0"/>
        <w:rPr>
          <w:rFonts w:ascii="Arial" w:hAnsi="Arial" w:cs="Arial"/>
        </w:rPr>
      </w:pPr>
      <w:r>
        <w:rPr>
          <w:rFonts w:cs="Arial" w:ascii="Arial" w:hAnsi="Arial"/>
        </w:rPr>
        <w:t>San Diego Gas &amp; Electric Company</w:t>
        <w:tab/>
        <w:tab/>
        <w:t>)</w:t>
      </w:r>
    </w:p>
    <w:p>
      <w:pPr>
        <w:pStyle w:val="bodytext-indent"/>
        <w:spacing w:lineRule="auto" w:line="240"/>
        <w:ind w:firstLine="720" w:start="1440" w:end="0"/>
        <w:rPr>
          <w:rFonts w:ascii="Arial" w:hAnsi="Arial" w:cs="Arial"/>
        </w:rPr>
      </w:pPr>
      <w:r>
        <w:rPr>
          <w:rFonts w:cs="Arial" w:ascii="Arial" w:hAnsi="Arial"/>
        </w:rPr>
        <w:t>Complainant</w:t>
        <w:tab/>
        <w:tab/>
        <w:tab/>
        <w:t>)</w:t>
      </w:r>
    </w:p>
    <w:p>
      <w:pPr>
        <w:pStyle w:val="bodytext-indent"/>
        <w:spacing w:lineRule="auto" w:line="240"/>
        <w:ind w:hanging="0" w:end="0"/>
        <w:rPr>
          <w:rFonts w:ascii="Arial" w:hAnsi="Arial" w:cs="Arial"/>
        </w:rPr>
      </w:pPr>
      <w:r>
        <w:rPr>
          <w:rFonts w:cs="Arial" w:ascii="Arial" w:hAnsi="Arial"/>
        </w:rPr>
        <w:tab/>
        <w:tab/>
        <w:tab/>
        <w:t>v.</w:t>
        <w:tab/>
        <w:tab/>
        <w:tab/>
        <w:tab/>
        <w:t>)    Docket No. EL00-95-012</w:t>
      </w:r>
    </w:p>
    <w:p>
      <w:pPr>
        <w:pStyle w:val="bodytext-indent"/>
        <w:spacing w:lineRule="auto" w:line="240"/>
        <w:ind w:hanging="0" w:end="0"/>
        <w:rPr>
          <w:rFonts w:ascii="Arial" w:hAnsi="Arial" w:cs="Arial"/>
          <w:i/>
          <w:i/>
        </w:rPr>
      </w:pPr>
      <w:r>
        <w:rPr>
          <w:rFonts w:cs="Arial" w:ascii="Arial" w:hAnsi="Arial"/>
        </w:rPr>
        <w:t xml:space="preserve">Sellers of Energy and Ancillary Services </w:t>
        <w:tab/>
        <w:t>)</w:t>
        <w:tab/>
        <w:tab/>
        <w:tab/>
      </w:r>
    </w:p>
    <w:p>
      <w:pPr>
        <w:pStyle w:val="bodytext-indent"/>
        <w:spacing w:lineRule="auto" w:line="240"/>
        <w:ind w:hanging="0" w:end="0"/>
        <w:rPr>
          <w:rFonts w:ascii="Arial" w:hAnsi="Arial" w:cs="Arial"/>
        </w:rPr>
      </w:pPr>
      <w:r>
        <w:rPr>
          <w:rFonts w:cs="Arial" w:ascii="Arial" w:hAnsi="Arial"/>
        </w:rPr>
        <w:t>Into Markets Operated by the California</w:t>
        <w:tab/>
        <w:tab/>
        <w:t>)</w:t>
      </w:r>
    </w:p>
    <w:p>
      <w:pPr>
        <w:pStyle w:val="bodytext-indent"/>
        <w:spacing w:lineRule="auto" w:line="240"/>
        <w:ind w:hanging="0" w:end="0"/>
        <w:rPr>
          <w:rFonts w:ascii="Arial" w:hAnsi="Arial" w:cs="Arial"/>
        </w:rPr>
      </w:pPr>
      <w:r>
        <w:rPr>
          <w:rFonts w:cs="Arial" w:ascii="Arial" w:hAnsi="Arial"/>
        </w:rPr>
        <w:t xml:space="preserve">Independent System Operator and the </w:t>
        <w:tab/>
        <w:tab/>
        <w:t>)</w:t>
      </w:r>
    </w:p>
    <w:p>
      <w:pPr>
        <w:pStyle w:val="bodytext-indent"/>
        <w:spacing w:lineRule="auto" w:line="240"/>
        <w:ind w:hanging="0" w:end="0"/>
        <w:rPr>
          <w:rFonts w:ascii="Arial" w:hAnsi="Arial" w:cs="Arial"/>
        </w:rPr>
      </w:pPr>
      <w:r>
        <w:rPr>
          <w:rFonts w:cs="Arial" w:ascii="Arial" w:hAnsi="Arial"/>
        </w:rPr>
        <w:t>California Power Exchange</w:t>
        <w:tab/>
        <w:tab/>
        <w:tab/>
        <w:t>)</w:t>
        <w:tab/>
        <w:tab/>
        <w:tab/>
        <w:tab/>
      </w:r>
    </w:p>
    <w:p>
      <w:pPr>
        <w:pStyle w:val="bodytext-indent"/>
        <w:spacing w:lineRule="auto" w:line="240"/>
        <w:ind w:hanging="0" w:end="0"/>
        <w:rPr>
          <w:rFonts w:ascii="Arial" w:hAnsi="Arial" w:cs="Arial"/>
        </w:rPr>
      </w:pPr>
      <w:r>
        <w:rPr>
          <w:rFonts w:cs="Arial" w:ascii="Arial" w:hAnsi="Arial"/>
        </w:rPr>
        <w:tab/>
        <w:tab/>
        <w:tab/>
        <w:t xml:space="preserve">Respondents.  </w:t>
        <w:tab/>
        <w:tab/>
        <w:t>)</w:t>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jc w:val="center"/>
        <w:rPr>
          <w:rFonts w:ascii="Arial" w:hAnsi="Arial" w:cs="Arial"/>
          <w:b/>
        </w:rPr>
      </w:pPr>
      <w:r>
        <w:rPr>
          <w:rFonts w:cs="Arial" w:ascii="Arial" w:hAnsi="Arial"/>
          <w:b/>
        </w:rPr>
        <w:t>COMMENTS OF THE</w:t>
      </w:r>
    </w:p>
    <w:p>
      <w:pPr>
        <w:pStyle w:val="bodytext-indent"/>
        <w:spacing w:lineRule="auto" w:line="240"/>
        <w:ind w:hanging="0" w:end="0"/>
        <w:jc w:val="center"/>
        <w:rPr>
          <w:rFonts w:ascii="Arial" w:hAnsi="Arial" w:cs="Arial"/>
          <w:b/>
        </w:rPr>
      </w:pPr>
      <w:r>
        <w:rPr>
          <w:rFonts w:cs="Arial" w:ascii="Arial" w:hAnsi="Arial"/>
          <w:b/>
        </w:rPr>
        <w:t>ELECTRIC POWER SUPPLY ASSOCIATION</w:t>
      </w:r>
    </w:p>
    <w:p>
      <w:pPr>
        <w:pStyle w:val="bodytext-indent"/>
        <w:spacing w:lineRule="auto" w:line="240"/>
        <w:ind w:hanging="0" w:end="0"/>
        <w:jc w:val="center"/>
        <w:rPr>
          <w:rFonts w:ascii="Arial" w:hAnsi="Arial" w:cs="Arial"/>
          <w:b/>
        </w:rPr>
      </w:pPr>
      <w:r>
        <w:rPr>
          <w:rFonts w:cs="Arial" w:ascii="Arial" w:hAnsi="Arial"/>
          <w:b/>
        </w:rPr>
      </w:r>
    </w:p>
    <w:p>
      <w:pPr>
        <w:pStyle w:val="Normal"/>
        <w:spacing w:lineRule="auto" w:line="360"/>
        <w:ind w:firstLine="720" w:end="0"/>
        <w:rPr/>
      </w:pPr>
      <w:r>
        <w:rPr>
          <w:lang w:eastAsia="en-US"/>
        </w:rPr>
        <w:t>The Electric Power Supply Association</w:t>
      </w:r>
      <w:r>
        <w:rPr>
          <w:rStyle w:val="FootnoteCharacters"/>
          <w:rStyle w:val="FootnoteReference"/>
          <w:lang w:eastAsia="en-US"/>
        </w:rPr>
        <w:footnoteReference w:id="2"/>
      </w:r>
      <w:r>
        <w:rPr>
          <w:lang w:eastAsia="en-US"/>
        </w:rPr>
        <w:t xml:space="preserve"> herein files its comments on the Commission’s Staff Recommendation on Prospective Market Monitoring and Mitigation for the California Wholesale Electric Power Market (Report), that was issued p</w:t>
      </w:r>
      <w:r>
        <w:rPr/>
        <w:t>ursuant to its December 15, 2000 Order Directing Remedies for California Wholesale Electric Markets.</w:t>
      </w:r>
      <w:r>
        <w:rPr>
          <w:rStyle w:val="FootnoteCharacters"/>
          <w:rStyle w:val="FootnoteReference"/>
        </w:rPr>
        <w:footnoteReference w:id="3"/>
      </w:r>
      <w:r>
        <w:rPr/>
        <w:t xml:space="preserve">  On March 9, 2001 Commission Staff issued the Report in response to a directive in the Commission’s December 15</w:t>
      </w:r>
      <w:r>
        <w:rPr>
          <w:vertAlign w:val="superscript"/>
        </w:rPr>
        <w:t>th</w:t>
      </w:r>
      <w:r>
        <w:rPr/>
        <w:t xml:space="preserve"> Order that Staff recommend a market monitoring and mitigation plan to replace the $150/Mwh price break contained in the December 15</w:t>
      </w:r>
      <w:r>
        <w:rPr>
          <w:vertAlign w:val="superscript"/>
        </w:rPr>
        <w:t>th</w:t>
      </w:r>
      <w:r>
        <w:rPr/>
        <w:t xml:space="preserve"> Order.  Comments on the Report were invited by March 22, 2001.  </w:t>
      </w:r>
    </w:p>
    <w:p>
      <w:pPr>
        <w:pStyle w:val="Heading1"/>
        <w:numPr>
          <w:ilvl w:val="0"/>
          <w:numId w:val="5"/>
        </w:numPr>
        <w:spacing w:lineRule="auto" w:line="360"/>
        <w:rPr/>
      </w:pPr>
      <w:r>
        <w:rPr/>
        <w:t>EPSA Supports Certain Aspects of the Staff Recommendations</w:t>
      </w:r>
    </w:p>
    <w:p>
      <w:pPr>
        <w:pStyle w:val="Normal"/>
        <w:spacing w:lineRule="auto" w:line="360"/>
        <w:ind w:firstLine="720" w:end="0"/>
        <w:rPr/>
      </w:pPr>
      <w:r>
        <w:rPr/>
        <w:t xml:space="preserve">EPSA lauds certain aspects of the Staff’s recommendations.  First, the Staff notes that ”ultimately the </w:t>
      </w:r>
      <w:r>
        <w:rPr>
          <w:u w:val="single"/>
        </w:rPr>
        <w:t>real</w:t>
      </w:r>
      <w:r>
        <w:rPr/>
        <w:t xml:space="preserve"> solution to California’s problems lies in increased investments in infrastructure.”</w:t>
      </w:r>
      <w:r>
        <w:rPr>
          <w:rStyle w:val="FootnoteCharacters"/>
          <w:rStyle w:val="FootnoteReference"/>
        </w:rPr>
        <w:footnoteReference w:id="4"/>
      </w:r>
      <w:r>
        <w:rPr/>
        <w:t xml:space="preserve">  It is certainly true that that new generation and transmission infrastructure is, ultimately, the best solution to the problems plaguing the California markets.</w:t>
      </w:r>
    </w:p>
    <w:p>
      <w:pPr>
        <w:pStyle w:val="BodyTextIndent"/>
        <w:spacing w:lineRule="auto" w:line="360"/>
        <w:rPr>
          <w:rFonts w:ascii="Arial" w:hAnsi="Arial" w:cs="Arial"/>
        </w:rPr>
      </w:pPr>
      <w:r>
        <w:rPr>
          <w:rFonts w:cs="Arial" w:ascii="Arial" w:hAnsi="Arial"/>
        </w:rPr>
        <w:t>Second, EPSA supports the Staff’s recommendation that its mitigation measures be severely limited by 1) applying only to approximately five percent of the market that remains in real-time and not to the bilateral and forward markets, 2) using price mitigation only during Stage 3 emergencies, and 3) “sunseting” mitigation efforts within a year.  EPSA concurs that the application of market monitoring and mitigation should be limited, in scope as well as time.  If adopted, this aspect of the Staff proposal will help provide much needed regulatory certainty and market confidence.  To date, “transition periods” or “temporary procedures” have often been renewed and extended repeatedly and indefinitely.  The Report’s inclusion of a date-certain “sunset” and limited scope for any price mitigation will provide the regulatory certainty needed for the future growth and viability of the industry.</w:t>
      </w:r>
    </w:p>
    <w:p>
      <w:pPr>
        <w:pStyle w:val="Normal"/>
        <w:spacing w:lineRule="auto" w:line="360"/>
        <w:ind w:firstLine="720" w:end="0"/>
        <w:rPr/>
      </w:pPr>
      <w:r>
        <w:rPr/>
        <w:t>Finally, EPSA agrees with Staff’s recommendations of the use of a single price auction in the real-time market.</w:t>
      </w:r>
      <w:r>
        <w:rPr>
          <w:rStyle w:val="FootnoteCharacters"/>
          <w:rStyle w:val="FootnoteReference"/>
        </w:rPr>
        <w:footnoteReference w:id="5"/>
      </w:r>
      <w:r>
        <w:rPr/>
        <w:t xml:space="preserve">  A single market clearing price sends appropriate price signals to the market and is best suited to encourage the long-term development of healthy regional markets.  In January, a panel of economists commissioned by the California Power Exchange, including </w:t>
      </w:r>
      <w:r>
        <w:rPr>
          <w:lang w:eastAsia="en-US"/>
        </w:rPr>
        <w:t>Alfred E. Kahn, Peter C. Cramton, Robert H. Porter, and Richard D. Tabors, produced a Report titled "Pricing in the California Power Exchange Electricity Market: Should California Switch from Uniform Pricing to Pay-as-Bid Pricing?"</w:t>
      </w:r>
      <w:r>
        <w:rPr>
          <w:rStyle w:val="FootnoteCharacters"/>
          <w:rStyle w:val="FootnoteReference"/>
          <w:lang w:eastAsia="en-US"/>
        </w:rPr>
        <w:footnoteReference w:id="6"/>
      </w:r>
      <w:r>
        <w:rPr>
          <w:lang w:eastAsia="en-US"/>
        </w:rPr>
        <w:t xml:space="preserve">  The Report concluded that a shift from uniform to as-bid pricing would not provide purchasers of electric power substantial relief from the soaring prices of the electric power, finding that such a switch “would do consumers more harm than good."  </w:t>
      </w:r>
      <w:r>
        <w:rPr/>
        <w:t>EPSA welcomes this Staff recommendation, particularly as an improvement over both the as-bid auction and the price break approach in the December 15</w:t>
      </w:r>
      <w:r>
        <w:rPr>
          <w:vertAlign w:val="superscript"/>
        </w:rPr>
        <w:t>th</w:t>
      </w:r>
      <w:r>
        <w:rPr/>
        <w:t xml:space="preserve"> Order.</w:t>
      </w:r>
    </w:p>
    <w:p>
      <w:pPr>
        <w:pStyle w:val="Heading1"/>
        <w:numPr>
          <w:ilvl w:val="0"/>
          <w:numId w:val="4"/>
        </w:numPr>
        <w:spacing w:lineRule="auto" w:line="360"/>
        <w:rPr/>
      </w:pPr>
      <w:r>
        <w:rPr/>
        <w:t>Issues of Concern</w:t>
      </w:r>
    </w:p>
    <w:p>
      <w:pPr>
        <w:pStyle w:val="BodyTextIndent"/>
        <w:spacing w:lineRule="auto" w:line="360"/>
        <w:rPr>
          <w:rFonts w:ascii="Arial" w:hAnsi="Arial" w:cs="Arial"/>
        </w:rPr>
      </w:pPr>
      <w:r>
        <w:rPr>
          <w:rFonts w:cs="Arial" w:ascii="Arial" w:hAnsi="Arial"/>
        </w:rPr>
        <w:t>While EPSA concurs with certain aspects of the Report, there are, nonetheless, aspects of the Report with which we disagree and urge the Commission to modify before the Report is accepted and the recommendations implemented.  Those issues are discussed below.</w:t>
      </w:r>
    </w:p>
    <w:p>
      <w:pPr>
        <w:pStyle w:val="BodyTextIndent2"/>
        <w:numPr>
          <w:ilvl w:val="0"/>
          <w:numId w:val="2"/>
        </w:numPr>
        <w:spacing w:before="0" w:after="120"/>
        <w:rPr/>
      </w:pPr>
      <w:r>
        <w:rPr/>
        <w:t>The Staff proposal addresses market structure and should not be linked to any anti-competitive behavior.</w:t>
      </w:r>
    </w:p>
    <w:p>
      <w:pPr>
        <w:pStyle w:val="BodyTextIndent2"/>
        <w:spacing w:lineRule="auto" w:line="360"/>
        <w:ind w:firstLine="720" w:start="0" w:end="0"/>
        <w:rPr/>
      </w:pPr>
      <w:r>
        <w:rPr>
          <w:b w:val="false"/>
        </w:rPr>
        <w:t>In neither the Report nor the December Order</w:t>
      </w:r>
      <w:r>
        <w:rPr>
          <w:b w:val="false"/>
          <w:i/>
        </w:rPr>
        <w:t>,</w:t>
      </w:r>
      <w:r>
        <w:rPr>
          <w:b w:val="false"/>
        </w:rPr>
        <w:t xml:space="preserve"> is there any evidence that anti-competitive behavior led to the high prices seen in the California market.  Nonetheless, the Report implies that mitigation is being proposed in response to the abuse of market power during times of shortage, that is, during Stage 3 emergencies.  This implication appears to be based on a fundamental misunderstanding of how competitive market prices are determined in times of shortage.  In a fully competitive spot market, in a time of shortage, prices will rise to a level that eliminates the shortage.  Consider a hypothetical case: if 100 buyers in a spot market each want one megawatt, but only 90 are available, bidding will drive the price to the level necessary for 10 buyers to drop out of the market.  This is how the market is “cleared.”  The resulting spot price will have little to do with the cost of producing electricity and will reflect, instead, the relative value the bidders place to their purchases in that hour.  </w:t>
      </w:r>
    </w:p>
    <w:p>
      <w:pPr>
        <w:pStyle w:val="BodyTextIndent2"/>
        <w:spacing w:lineRule="auto" w:line="360"/>
        <w:ind w:firstLine="720" w:start="0" w:end="0"/>
        <w:rPr>
          <w:b w:val="false"/>
        </w:rPr>
      </w:pPr>
      <w:r>
        <w:rPr>
          <w:b w:val="false"/>
        </w:rPr>
        <w:t>It adopting the approach proposed, the Report appears primarily motivated by a policy concern about market design, not about the abuse of market power.  For a variety of reasons, including state law and regulatory policy, building new power plants will, particularly in California, take some time, and market-based demand-side response to shortages has been limited.  Thus, rather than allow prices to rise to the level needed to clear the market, the Report proposes to limit prices below those likely to prevail in a competitive marketplace.  EPSA believes, and has documented in prior filings and reports, that this type of price intervention is more likely to harm than help the development of a competitive market.  For the purposes of the effort, EPSA would urge the Commission to recognize the choices it is making and eliminate the linkage between market mitigation and unfounded allegations of market power.</w:t>
      </w:r>
    </w:p>
    <w:p>
      <w:pPr>
        <w:pStyle w:val="BodyTextIndent2"/>
        <w:spacing w:lineRule="auto" w:line="360"/>
        <w:ind w:firstLine="720" w:start="0" w:end="0"/>
        <w:rPr>
          <w:b w:val="false"/>
        </w:rPr>
      </w:pPr>
      <w:r>
        <w:rPr>
          <w:b w:val="false"/>
        </w:rPr>
        <w:t>In fact, the Report itself recognizes that high prices in California are the result of many factors:</w:t>
      </w:r>
    </w:p>
    <w:p>
      <w:pPr>
        <w:pStyle w:val="BodyTextIndent2"/>
        <w:ind w:hanging="0" w:end="0"/>
        <w:rPr/>
      </w:pPr>
      <w:r>
        <w:rPr>
          <w:b w:val="false"/>
        </w:rPr>
        <w:t>California has suffered multiple shocks, including the consequences felt from over reliance on short-term markets, widening scarcity of resources, depleted hydro resources, extreme load conditions and a rate freeze that has stymied demand response to high prices.</w:t>
      </w:r>
      <w:r>
        <w:rPr>
          <w:rStyle w:val="FootnoteCharacters"/>
          <w:rStyle w:val="FootnoteReference"/>
          <w:b/>
        </w:rPr>
        <w:footnoteReference w:id="7"/>
      </w:r>
      <w:r>
        <w:rPr>
          <w:b w:val="false"/>
        </w:rPr>
        <w:t xml:space="preserve"> </w:t>
      </w:r>
    </w:p>
    <w:p>
      <w:pPr>
        <w:pStyle w:val="BodyTextIndent2"/>
        <w:rPr>
          <w:b w:val="false"/>
        </w:rPr>
      </w:pPr>
      <w:r>
        <w:rPr>
          <w:b w:val="false"/>
        </w:rPr>
      </w:r>
    </w:p>
    <w:p>
      <w:pPr>
        <w:pStyle w:val="Normal"/>
        <w:spacing w:lineRule="auto" w:line="360"/>
        <w:ind w:firstLine="720" w:end="0"/>
        <w:rPr/>
      </w:pPr>
      <w:r>
        <w:rPr/>
        <w:t>It is important that the Commission not fan the rhetorical flames in California.  As</w:t>
      </w:r>
      <w:r>
        <w:rPr>
          <w:b/>
        </w:rPr>
        <w:t xml:space="preserve"> </w:t>
      </w:r>
      <w:r>
        <w:rPr/>
        <w:t>former</w:t>
      </w:r>
      <w:r>
        <w:rPr>
          <w:lang w:eastAsia="en-US"/>
        </w:rPr>
        <w:t xml:space="preserve"> Chairman Hoecker has written:</w:t>
      </w:r>
    </w:p>
    <w:p>
      <w:pPr>
        <w:pStyle w:val="Normal"/>
        <w:spacing w:before="0" w:after="120"/>
        <w:ind w:start="1440" w:end="0"/>
        <w:rPr/>
      </w:pPr>
      <w:r>
        <w:rPr>
          <w:lang w:eastAsia="en-US"/>
        </w:rPr>
        <w:t>It is my opinion that the general level of vituperation and lack of constructive discourse among public policymakers is delaying development and implementation of a comprehensive work-out plan for California.[</w:t>
      </w:r>
      <w:r>
        <w:rPr>
          <w:rStyle w:val="FootnoteCharacters"/>
          <w:rStyle w:val="FootnoteReference"/>
          <w:lang w:eastAsia="en-US"/>
        </w:rPr>
        <w:footnoteReference w:id="8"/>
      </w:r>
      <w:r>
        <w:rPr>
          <w:lang w:eastAsia="en-US"/>
        </w:rPr>
        <w:t>]</w:t>
      </w:r>
    </w:p>
    <w:p>
      <w:pPr>
        <w:pStyle w:val="Normal"/>
        <w:spacing w:lineRule="auto" w:line="360"/>
        <w:rPr>
          <w:lang w:eastAsia="en-US"/>
        </w:rPr>
      </w:pPr>
      <w:r>
        <w:rPr>
          <w:lang w:eastAsia="en-US"/>
        </w:rPr>
        <w:t>Already, suppliers have been subjected to numerous lawsuits and political charges based on unproven facts.  There is a real risk that vague and conclusory language in one Commission Order be repeated and misinterpreted in other forums.  Clear findings, precisely stated, on the basis of a complete record, is essential to avoid a reoccurrence of unfounded allegations in the myriad of investigations and lawsuits stemming from the events in California.</w:t>
      </w:r>
    </w:p>
    <w:p>
      <w:pPr>
        <w:pStyle w:val="BodyTextIndent2"/>
        <w:spacing w:lineRule="auto" w:line="360"/>
        <w:ind w:firstLine="720" w:start="0" w:end="0"/>
        <w:rPr>
          <w:b w:val="false"/>
        </w:rPr>
      </w:pPr>
      <w:r>
        <w:rPr>
          <w:b w:val="false"/>
        </w:rPr>
        <w:t>EPSA therefore urges the Commission to not suggest that market mitigation measures are being imposed to remedy anti-competitive behavior without clear evidence of that behavior improperly influence the market.  The Commission and the industry need to keep focused on the real issues, causes and constructive solutions for the California situation.</w:t>
      </w:r>
      <w:r>
        <w:rPr>
          <w:rStyle w:val="FootnoteCharacters"/>
          <w:rStyle w:val="FootnoteReference"/>
          <w:b/>
        </w:rPr>
        <w:footnoteReference w:id="9"/>
      </w:r>
    </w:p>
    <w:p>
      <w:pPr>
        <w:pStyle w:val="Normal"/>
        <w:numPr>
          <w:ilvl w:val="0"/>
          <w:numId w:val="2"/>
        </w:numPr>
        <w:spacing w:before="0" w:after="120"/>
        <w:rPr>
          <w:b/>
        </w:rPr>
      </w:pPr>
      <w:r>
        <w:rPr>
          <w:b/>
        </w:rPr>
        <w:t>The Commission should not use cost-based models to derive prices during periods of short supply.</w:t>
      </w:r>
    </w:p>
    <w:p>
      <w:pPr>
        <w:pStyle w:val="BodyTextIndent"/>
        <w:spacing w:lineRule="auto" w:line="360"/>
        <w:rPr/>
      </w:pPr>
      <w:r>
        <w:rPr>
          <w:rFonts w:cs="Arial" w:ascii="Arial" w:hAnsi="Arial"/>
        </w:rPr>
        <w:t>The Report recommends requiring Participating Generators to work with the Commission Staff to develop “predetermined standing prices” that would be used for price mitigation during “times of reserve deficiency.”</w:t>
      </w:r>
      <w:r>
        <w:rPr>
          <w:rStyle w:val="FootnoteCharacters"/>
          <w:rStyle w:val="FootnoteReference"/>
          <w:rFonts w:cs="Arial" w:ascii="Arial" w:hAnsi="Arial"/>
        </w:rPr>
        <w:footnoteReference w:id="10"/>
      </w:r>
      <w:r>
        <w:rPr>
          <w:rFonts w:cs="Arial" w:ascii="Arial" w:hAnsi="Arial"/>
        </w:rPr>
        <w:t xml:space="preserve">  This would essentially be a cost-based price, including factors such as heat rate, fuel costs </w:t>
      </w:r>
    </w:p>
    <w:p>
      <w:pPr>
        <w:pStyle w:val="BodyTextIndent"/>
        <w:spacing w:lineRule="auto" w:line="360"/>
        <w:ind w:hanging="0" w:end="0"/>
        <w:rPr>
          <w:rFonts w:ascii="Arial" w:hAnsi="Arial" w:cs="Arial"/>
        </w:rPr>
      </w:pPr>
      <w:r>
        <w:rPr>
          <w:rFonts w:cs="Arial" w:ascii="Arial" w:hAnsi="Arial"/>
        </w:rPr>
        <w:t xml:space="preserve">and emission data.  EPSA strongly urges the Commission to consider the severe negative consequences of using a cost-based approach to deriving prices during times of scarcity.  </w:t>
      </w:r>
    </w:p>
    <w:p>
      <w:pPr>
        <w:pStyle w:val="BodyTextIndent"/>
        <w:spacing w:lineRule="auto" w:line="360"/>
        <w:rPr/>
      </w:pPr>
      <w:r>
        <w:rPr>
          <w:rFonts w:cs="Arial" w:ascii="Arial" w:hAnsi="Arial"/>
        </w:rPr>
        <w:t>It is important to recognize that, during time of acute shortages, competitive prices derive from the customer’s value, not the supplier’s cost.  Moreover, cost-based models do not accurately predict prices during shortages.  This was apparent during the oil shortages of the 1970s.  In the early part of the decade, a nine percent cut in free world oil supplies led to the first quadrupling of oil prices from approximately $3.00 to $12.00 per barrel.  In like manner, prices of the 1980s rose to $42.00 per barrel with an eight percent reduction in free world oil supply.</w:t>
      </w:r>
      <w:r>
        <w:rPr>
          <w:rStyle w:val="FootnoteCharacters"/>
          <w:rStyle w:val="FootnoteReference"/>
          <w:rFonts w:cs="Arial" w:ascii="Arial" w:hAnsi="Arial"/>
        </w:rPr>
        <w:footnoteReference w:id="11"/>
      </w:r>
      <w:r>
        <w:rPr>
          <w:rFonts w:cs="Arial" w:ascii="Arial" w:hAnsi="Arial"/>
        </w:rPr>
        <w:t xml:space="preserve">  EPSA urges the Commission not to perpetuate unrealistic expectations of power supply cost, which act to discourage both investment and conservation, by using a cost-based model that fails to recognize economic realities. </w:t>
      </w:r>
    </w:p>
    <w:p>
      <w:pPr>
        <w:pStyle w:val="Normal"/>
        <w:numPr>
          <w:ilvl w:val="0"/>
          <w:numId w:val="2"/>
        </w:numPr>
        <w:spacing w:before="0" w:after="120"/>
        <w:rPr>
          <w:b/>
        </w:rPr>
      </w:pPr>
      <w:r>
        <w:rPr>
          <w:b/>
        </w:rPr>
        <w:t>The market clearing price calculation as recommended does not include the full cost of the value of the commodity.</w:t>
      </w:r>
    </w:p>
    <w:p>
      <w:pPr>
        <w:pStyle w:val="Normal"/>
        <w:spacing w:lineRule="auto" w:line="360" w:before="0" w:after="120"/>
        <w:ind w:firstLine="720" w:end="0"/>
        <w:rPr/>
      </w:pPr>
      <w:r>
        <w:rPr>
          <w:color w:val="000000"/>
        </w:rPr>
        <w:t>As discussed above, the Commission’s approach to market mitigation should not begin with a focus on seller’s costs during periods of shortage.  However, to the extent seller’s costs are used, it is very important that all costs be included, which is not the case with the Staff’s recommendation.  Staff’s proposal for calculating the market clearing price creates a limited market, and does not take into account the full value of the commodity to either the buyer or the seller.  As outlined in EPSA’s recently filed White Paper on Market Monitoring,</w:t>
      </w:r>
      <w:r>
        <w:rPr>
          <w:rStyle w:val="FootnoteCharacters"/>
          <w:rStyle w:val="FootnoteReference"/>
          <w:color w:val="000000"/>
        </w:rPr>
        <w:footnoteReference w:id="12"/>
      </w:r>
      <w:r>
        <w:rPr>
          <w:color w:val="000000"/>
        </w:rPr>
        <w:t xml:space="preserve"> it is essential to recognize that market prices resulting from bids above marginal energy cost are not evidence of market power.  Numerous factors can lead bidders to bid above or below their marginal energy costs in a given hour.</w:t>
      </w:r>
      <w:r>
        <w:rPr/>
        <w:t xml:space="preserve">  </w:t>
      </w:r>
    </w:p>
    <w:p>
      <w:pPr>
        <w:pStyle w:val="Normal"/>
        <w:spacing w:lineRule="auto" w:line="360" w:before="0" w:after="120"/>
        <w:ind w:firstLine="360" w:end="0"/>
        <w:rPr>
          <w:color w:val="000000"/>
        </w:rPr>
      </w:pPr>
      <w:r>
        <w:rPr/>
        <w:tab/>
      </w:r>
      <w:r>
        <w:rPr>
          <w:b/>
        </w:rPr>
        <w:t>A marginal energy cost analysis that fails to include capacity value, opportunity costs</w:t>
      </w:r>
      <w:r>
        <w:rPr>
          <w:b/>
          <w:color w:val="000000"/>
        </w:rPr>
        <w:t>, scarcity</w:t>
      </w:r>
      <w:r>
        <w:rPr>
          <w:b/>
        </w:rPr>
        <w:t xml:space="preserve"> value, transmission constraints, emission offsets and risk will not produce an accurate result.</w:t>
      </w:r>
      <w:r>
        <w:rPr/>
        <w:t xml:space="preserve">  While there may not yet be a generally accepted methodology for measuring these additional factors, cost analyses which omit these fundamental factors will not produce results that replicate market value.</w:t>
      </w:r>
    </w:p>
    <w:p>
      <w:pPr>
        <w:pStyle w:val="Normal"/>
        <w:spacing w:lineRule="auto" w:line="360" w:before="0" w:after="120"/>
        <w:ind w:firstLine="720" w:end="0"/>
        <w:rPr/>
      </w:pPr>
      <w:r>
        <w:rPr/>
        <w:t>With respect to capacity value, it is essential that such value be reflected so that new investment (new entry) is sufficient to ensure system reliability.  Marginal capacity value, which varies as generating capacity and load get out of balance, must be included if a marginal cost analysis is used.</w:t>
      </w:r>
    </w:p>
    <w:p>
      <w:pPr>
        <w:pStyle w:val="Normal"/>
        <w:spacing w:lineRule="auto" w:line="360" w:before="0" w:after="120"/>
        <w:ind w:firstLine="720" w:end="0"/>
        <w:rPr/>
      </w:pPr>
      <w:r>
        <w:rPr/>
        <w:t xml:space="preserve">Opportunity cost, in its many forms, is another important factor.  A bid might reflect the fact that the bidder has the opportunity to sell electricity at a higher price in another geographic market (in the Desert Southwest rather than in California, for example) where prevailing market conditions have created higher prices in the short-term.  Similarly, a bid could reflect the opportunity to sell in another product market (ancillary services rather than energy, for example). </w:t>
      </w:r>
    </w:p>
    <w:p>
      <w:pPr>
        <w:pStyle w:val="Normal"/>
        <w:spacing w:lineRule="auto" w:line="360" w:before="0" w:after="120"/>
        <w:ind w:firstLine="720" w:end="0"/>
        <w:rPr/>
      </w:pPr>
      <w:r>
        <w:rPr/>
        <w:t>Other situations in which opportunity costs matter include (a) times when it would be more profitable to resell natural gas supply rather than use it to generate electricity and (b) times when it would be more profitable to resell emission credits.  In these times, any price analysis must be sure to reflect current market prices for gas and offsets.  Opportunity cost should also be taken into account when a generator facing limitations on operating hours would find it better to wait to produce at another, more critical market period.</w:t>
      </w:r>
    </w:p>
    <w:p>
      <w:pPr>
        <w:pStyle w:val="Normal"/>
        <w:spacing w:lineRule="auto" w:line="360" w:before="0" w:after="120"/>
        <w:ind w:firstLine="720" w:end="0"/>
        <w:rPr/>
      </w:pPr>
      <w:r>
        <w:rPr/>
        <w:t>In addition, scarcity value must be reflected when total available generating capacity approaches or falls short of customer needs.  At that point, market prices must rise to the level necessary to curtail load.  In a shortage, competitive prices reflect customer value not supplier cost and proxy prices must do the same.</w:t>
      </w:r>
    </w:p>
    <w:p>
      <w:pPr>
        <w:pStyle w:val="Normal"/>
        <w:spacing w:lineRule="auto" w:line="360" w:before="0" w:after="120"/>
        <w:ind w:firstLine="720" w:end="0"/>
        <w:rPr/>
      </w:pPr>
      <w:r>
        <w:rPr/>
        <w:t>Finally, risk management comes into play because physical or financial commitments have been made in the face of uncertainty.  The decision on whether to run and what price to offer could reflect, for example, a commitment to assure physical reliability.  In addition, while not a factor that routinely affects market prices, credit risk has affected price in recent months.  The credit risks in California have, as the Commission has recognized, been real and substantial, with many suppliers accruing huge unpaid liabilities.</w:t>
      </w:r>
      <w:r>
        <w:rPr>
          <w:rStyle w:val="FootnoteCharacters"/>
          <w:rStyle w:val="FootnoteReference"/>
        </w:rPr>
        <w:footnoteReference w:id="13"/>
      </w:r>
      <w:r>
        <w:rPr/>
        <w:t xml:space="preserve">  </w:t>
      </w:r>
    </w:p>
    <w:p>
      <w:pPr>
        <w:pStyle w:val="Normal"/>
        <w:numPr>
          <w:ilvl w:val="0"/>
          <w:numId w:val="2"/>
        </w:numPr>
        <w:spacing w:before="0" w:after="120"/>
        <w:rPr>
          <w:b/>
        </w:rPr>
      </w:pPr>
      <w:r>
        <w:rPr>
          <w:b/>
        </w:rPr>
        <w:t>The Commission should not accept Staff’s market clearing price calculation as recommended.</w:t>
      </w:r>
    </w:p>
    <w:p>
      <w:pPr>
        <w:pStyle w:val="Normal"/>
        <w:spacing w:lineRule="auto" w:line="360"/>
        <w:ind w:firstLine="720" w:end="0"/>
        <w:rPr/>
      </w:pPr>
      <w:r>
        <w:rPr/>
        <w:t xml:space="preserve">The </w:t>
      </w:r>
      <w:r>
        <w:rPr>
          <w:i/>
        </w:rPr>
        <w:t>Report’s</w:t>
      </w:r>
      <w:r>
        <w:rPr/>
        <w:t xml:space="preserve"> method for calculating a “market clearing price,” as explained above, does not include all the factors reflected in a true competitive market, most notably the scarcity value that would surely dictate price in a shortage situation such as a Stage 3 emergency.  Furthermore, Staff’s methodology fails to include all market participants.  Staff’s proposal includes only Participating Generators and excludes imports, and out-of-market purchases.  For these reasons, Staff’s approach will create an artificial market-clearing price.  </w:t>
      </w:r>
    </w:p>
    <w:p>
      <w:pPr>
        <w:pStyle w:val="Normal"/>
        <w:spacing w:lineRule="auto" w:line="360"/>
        <w:ind w:firstLine="720" w:end="0"/>
        <w:rPr/>
      </w:pPr>
      <w:r>
        <w:rPr/>
        <w:t>If the Commission feels compelled to limit prices during Stage 3 situations, the proxy price methodology included in the Commission’s refund order of March 9</w:t>
      </w:r>
      <w:r>
        <w:rPr>
          <w:vertAlign w:val="superscript"/>
        </w:rPr>
        <w:t>th</w:t>
      </w:r>
      <w:r>
        <w:rPr/>
        <w:t xml:space="preserve"> may be preferable to the method proposed in this Report.  The proxy market price developed in the March 9</w:t>
      </w:r>
      <w:r>
        <w:rPr>
          <w:vertAlign w:val="superscript"/>
        </w:rPr>
        <w:t xml:space="preserve">th </w:t>
      </w:r>
      <w:r>
        <w:rPr/>
        <w:t>Order was derived from a heat rate time, a gas price, plus an emission allowance and variable O&amp;M.</w:t>
      </w:r>
    </w:p>
    <w:p>
      <w:pPr>
        <w:pStyle w:val="Normal"/>
        <w:spacing w:lineRule="auto" w:line="360"/>
        <w:ind w:firstLine="720" w:end="0"/>
        <w:rPr/>
      </w:pPr>
      <w:r>
        <w:rPr/>
        <w:t>This approach includes certain benefits over the Staff recommendation.  It appears to be a more realistic estimate of power plant performance, since the heat rate used was derived from actual performance data of the least efficient gas turbines owned by the utilities in California.  The proxy price approach, with certain modifications, will also be relatively easy and straightforward to administer.  Specifically, given the highly volatile gas prices, EPSA urges the Commission to use the daily gas price rather than the less accurate monthly average gas price.  It addition, the Commission’s willingness to allow individual sellers to document costs that exceed the proxy price is important as well.</w:t>
      </w:r>
    </w:p>
    <w:p>
      <w:pPr>
        <w:pStyle w:val="Normal"/>
        <w:spacing w:lineRule="auto" w:line="360"/>
        <w:ind w:firstLine="720" w:end="0"/>
        <w:rPr/>
      </w:pPr>
      <w:r>
        <w:rPr/>
        <w:t>While EPSA believes that an unfettered market provides more accurate price signals to both suppliers and customers, if the Commission sees the need to limit prices temporarily during Stage 3 emergencies, the proxy price developed in the March 9</w:t>
      </w:r>
      <w:r>
        <w:rPr>
          <w:vertAlign w:val="superscript"/>
        </w:rPr>
        <w:t>th</w:t>
      </w:r>
      <w:r>
        <w:rPr/>
        <w:t xml:space="preserve"> Order is preferable to approach proposed by Staff. </w:t>
      </w:r>
    </w:p>
    <w:p>
      <w:pPr>
        <w:pStyle w:val="Normal"/>
        <w:spacing w:before="0" w:after="120"/>
        <w:ind w:hanging="446" w:start="1166" w:end="0"/>
        <w:rPr/>
      </w:pPr>
      <w:r>
        <w:rPr>
          <w:b/>
        </w:rPr>
        <w:t>E.</w:t>
      </w:r>
      <w:r>
        <w:rPr/>
        <w:t xml:space="preserve">    </w:t>
      </w:r>
      <w:r>
        <w:rPr>
          <w:b/>
        </w:rPr>
        <w:t>The Commission should not force bidding into the real-time market.</w:t>
      </w:r>
    </w:p>
    <w:p>
      <w:pPr>
        <w:pStyle w:val="Normal"/>
        <w:spacing w:lineRule="auto" w:line="360"/>
        <w:ind w:firstLine="720" w:end="0"/>
        <w:rPr/>
      </w:pPr>
      <w:r>
        <w:rPr/>
        <w:t>EPSA opposes forced bidding into the real-time market as recommended by the Staff.  This prescription precludes and preempts competitive business decisions and retards the healthy development of the market.  As discussed above, there are a host of reasons why a generator might make a rational business decision not to run in a particular hour.  Fuel or emission limitations, minimum run times and efficiency, potential maintenance concerns, and/or need to assure physical reliability for a different transaction could all lead to a rational business decision to run or not run in a particular hour.  The Commission, under the guise of market monitoring, should not allow those business decisions to be preempted.</w:t>
      </w:r>
    </w:p>
    <w:p>
      <w:pPr>
        <w:pStyle w:val="bodytext-indent"/>
        <w:numPr>
          <w:ilvl w:val="0"/>
          <w:numId w:val="4"/>
        </w:numPr>
        <w:spacing w:lineRule="auto" w:line="240" w:before="0" w:after="120"/>
        <w:rPr>
          <w:rFonts w:ascii="Arial" w:hAnsi="Arial" w:cs="Arial"/>
        </w:rPr>
      </w:pPr>
      <w:r>
        <w:rPr>
          <w:rFonts w:cs="Arial" w:ascii="Arial" w:hAnsi="Arial"/>
          <w:b/>
        </w:rPr>
        <w:t>Conclusion</w:t>
      </w:r>
    </w:p>
    <w:p>
      <w:pPr>
        <w:pStyle w:val="bodytext-indent"/>
        <w:spacing w:lineRule="auto" w:line="360"/>
        <w:ind w:firstLine="720" w:end="0"/>
        <w:rPr>
          <w:rFonts w:ascii="Arial" w:hAnsi="Arial" w:cs="Arial"/>
        </w:rPr>
      </w:pPr>
      <w:r>
        <w:rPr>
          <w:rFonts w:cs="Arial" w:ascii="Arial" w:hAnsi="Arial"/>
        </w:rPr>
        <w:t>As discussed herein, EPSA urges the Commission to adopt certain aspects of the Commission’s recommendations and to make certain modifications thereto before the Staff Report is adopted and implemented in full.  Specifically, EPSA urges the Commission to retain the limited scope and duration of the market mitigation measures and the use of the single market clearing price auction.  However, EPSA urges the Commission to:</w:t>
      </w:r>
    </w:p>
    <w:p>
      <w:pPr>
        <w:pStyle w:val="bodytext-indent"/>
        <w:numPr>
          <w:ilvl w:val="0"/>
          <w:numId w:val="3"/>
        </w:numPr>
        <w:tabs>
          <w:tab w:val="clear" w:pos="720"/>
          <w:tab w:val="left" w:pos="1140" w:leader="none"/>
        </w:tabs>
        <w:spacing w:lineRule="auto" w:line="240"/>
        <w:ind w:hanging="360" w:start="1140" w:end="0"/>
        <w:rPr>
          <w:rFonts w:ascii="Arial" w:hAnsi="Arial" w:cs="Arial"/>
        </w:rPr>
      </w:pPr>
      <w:r>
        <w:rPr>
          <w:rFonts w:cs="Arial" w:ascii="Arial" w:hAnsi="Arial"/>
        </w:rPr>
        <w:t xml:space="preserve">clarify that these market mitigation measures are being put into place to address structural defects in the California market, not the abuse of market power by any market participants; </w:t>
      </w:r>
    </w:p>
    <w:p>
      <w:pPr>
        <w:pStyle w:val="bodytext-indent"/>
        <w:numPr>
          <w:ilvl w:val="0"/>
          <w:numId w:val="3"/>
        </w:numPr>
        <w:tabs>
          <w:tab w:val="clear" w:pos="720"/>
          <w:tab w:val="left" w:pos="1140" w:leader="none"/>
        </w:tabs>
        <w:spacing w:lineRule="auto" w:line="240"/>
        <w:ind w:hanging="360" w:start="1140" w:end="0"/>
        <w:rPr>
          <w:rFonts w:ascii="Arial" w:hAnsi="Arial" w:cs="Arial"/>
        </w:rPr>
      </w:pPr>
      <w:r>
        <w:rPr>
          <w:rFonts w:cs="Arial" w:ascii="Arial" w:hAnsi="Arial"/>
        </w:rPr>
        <w:t>avoid the use of cost-based rates as a proxy for competitive prices during times of scarcity;</w:t>
      </w:r>
    </w:p>
    <w:p>
      <w:pPr>
        <w:pStyle w:val="bodytext-indent"/>
        <w:numPr>
          <w:ilvl w:val="0"/>
          <w:numId w:val="3"/>
        </w:numPr>
        <w:tabs>
          <w:tab w:val="clear" w:pos="720"/>
          <w:tab w:val="left" w:pos="1140" w:leader="none"/>
        </w:tabs>
        <w:spacing w:lineRule="auto" w:line="240"/>
        <w:ind w:hanging="360" w:start="1140" w:end="0"/>
        <w:rPr>
          <w:rFonts w:ascii="Arial" w:hAnsi="Arial" w:cs="Arial"/>
        </w:rPr>
      </w:pPr>
      <w:r>
        <w:rPr>
          <w:rFonts w:cs="Arial" w:ascii="Arial" w:hAnsi="Arial"/>
        </w:rPr>
        <w:t>ensure that if cost-based proxy rates are used, those rates includes the full value of scarcity, capacity, opportunity costs, and other factors;</w:t>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r>
    </w:p>
    <w:p>
      <w:pPr>
        <w:pStyle w:val="bodytext-indent"/>
        <w:numPr>
          <w:ilvl w:val="0"/>
          <w:numId w:val="3"/>
        </w:numPr>
        <w:tabs>
          <w:tab w:val="clear" w:pos="720"/>
          <w:tab w:val="left" w:pos="1140" w:leader="none"/>
        </w:tabs>
        <w:spacing w:lineRule="auto" w:line="240"/>
        <w:ind w:hanging="360" w:start="1140" w:end="0"/>
        <w:rPr>
          <w:rFonts w:ascii="Arial" w:hAnsi="Arial" w:cs="Arial"/>
        </w:rPr>
      </w:pPr>
      <w:r>
        <w:rPr>
          <w:rFonts w:cs="Arial" w:ascii="Arial" w:hAnsi="Arial"/>
        </w:rPr>
        <w:t>develop proxy rates, if necessary, using the formula in the March 9</w:t>
      </w:r>
      <w:r>
        <w:rPr>
          <w:rFonts w:cs="Arial" w:ascii="Arial" w:hAnsi="Arial"/>
          <w:vertAlign w:val="superscript"/>
        </w:rPr>
        <w:t>th</w:t>
      </w:r>
      <w:r>
        <w:rPr>
          <w:rFonts w:cs="Arial" w:ascii="Arial" w:hAnsi="Arial"/>
        </w:rPr>
        <w:t xml:space="preserve"> Refund Order; and </w:t>
      </w:r>
    </w:p>
    <w:p>
      <w:pPr>
        <w:pStyle w:val="bodytext-indent"/>
        <w:numPr>
          <w:ilvl w:val="0"/>
          <w:numId w:val="3"/>
        </w:numPr>
        <w:tabs>
          <w:tab w:val="clear" w:pos="720"/>
          <w:tab w:val="left" w:pos="1140" w:leader="none"/>
        </w:tabs>
        <w:spacing w:lineRule="auto" w:line="240"/>
        <w:ind w:hanging="360" w:start="1140" w:end="0"/>
        <w:rPr>
          <w:rFonts w:ascii="Arial" w:hAnsi="Arial" w:cs="Arial"/>
        </w:rPr>
      </w:pPr>
      <w:r>
        <w:rPr>
          <w:rFonts w:cs="Arial" w:ascii="Arial" w:hAnsi="Arial"/>
        </w:rPr>
        <w:t xml:space="preserve">forego forced bidding into real-time markets.  </w:t>
      </w:r>
    </w:p>
    <w:p>
      <w:pPr>
        <w:pStyle w:val="bodytext-indent"/>
        <w:spacing w:lineRule="auto" w:line="240"/>
        <w:rPr>
          <w:rFonts w:ascii="Arial" w:hAnsi="Arial" w:cs="Arial"/>
        </w:rPr>
      </w:pPr>
      <w:r>
        <w:rPr>
          <w:rFonts w:cs="Arial" w:ascii="Arial" w:hAnsi="Arial"/>
        </w:rPr>
      </w:r>
    </w:p>
    <w:p>
      <w:pPr>
        <w:pStyle w:val="bodytext-indent"/>
        <w:spacing w:lineRule="auto" w:line="240"/>
        <w:ind w:firstLine="720" w:end="0"/>
        <w:rPr>
          <w:rFonts w:ascii="Arial" w:hAnsi="Arial" w:cs="Arial"/>
        </w:rPr>
      </w:pPr>
      <w:r>
        <w:rPr>
          <w:rFonts w:cs="Arial" w:ascii="Arial" w:hAnsi="Arial"/>
        </w:rPr>
      </w:r>
    </w:p>
    <w:p>
      <w:pPr>
        <w:pStyle w:val="bodytext-indent"/>
        <w:spacing w:lineRule="auto" w:line="24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t>March 22, 2001</w:t>
      </w:r>
    </w:p>
    <w:p>
      <w:pPr>
        <w:pStyle w:val="bodytext-indent"/>
        <w:spacing w:lineRule="auto" w:line="240"/>
        <w:ind w:hanging="0" w:end="0"/>
        <w:rPr>
          <w:rFonts w:ascii="Arial" w:hAnsi="Arial" w:cs="Arial"/>
        </w:rPr>
      </w:pPr>
      <w:r>
        <w:rPr>
          <w:rFonts w:cs="Arial" w:ascii="Arial" w:hAnsi="Arial"/>
        </w:rPr>
      </w:r>
    </w:p>
    <w:p>
      <w:pPr>
        <w:pStyle w:val="SignatureBlock"/>
        <w:ind w:start="4320" w:end="0"/>
        <w:rPr>
          <w:rFonts w:ascii="Arial" w:hAnsi="Arial" w:cs="Arial"/>
        </w:rPr>
      </w:pPr>
      <w:r>
        <w:rPr>
          <w:rFonts w:cs="Arial" w:ascii="Arial" w:hAnsi="Arial"/>
        </w:rPr>
        <w:t>Respectfully submitted,</w:t>
      </w:r>
    </w:p>
    <w:p>
      <w:pPr>
        <w:pStyle w:val="SignatureBlock"/>
        <w:rPr>
          <w:rFonts w:ascii="Arial" w:hAnsi="Arial" w:cs="Arial"/>
        </w:rPr>
      </w:pPr>
      <w:r>
        <w:rPr>
          <w:rFonts w:cs="Arial" w:ascii="Arial" w:hAnsi="Arial"/>
        </w:rPr>
      </w:r>
    </w:p>
    <w:p>
      <w:pPr>
        <w:pStyle w:val="SignatureBlock"/>
        <w:rPr>
          <w:rFonts w:ascii="Arial" w:hAnsi="Arial" w:cs="Arial"/>
          <w:u w:val="single"/>
        </w:rPr>
      </w:pPr>
      <w:r>
        <w:rPr>
          <w:rFonts w:cs="Arial" w:ascii="Arial" w:hAnsi="Arial"/>
          <w:u w:val="single"/>
        </w:rPr>
      </w:r>
    </w:p>
    <w:p>
      <w:pPr>
        <w:pStyle w:val="SignatureBlock"/>
        <w:ind w:start="0" w:end="0"/>
        <w:rPr>
          <w:rFonts w:ascii="Arial" w:hAnsi="Arial" w:cs="Arial"/>
          <w:u w:val="single"/>
        </w:rPr>
      </w:pPr>
      <w:r>
        <w:rPr>
          <w:rFonts w:cs="Arial" w:ascii="Arial" w:hAnsi="Arial"/>
          <w:u w:val="single"/>
        </w:rPr>
      </w:r>
    </w:p>
    <w:p>
      <w:pPr>
        <w:pStyle w:val="SignatureBlock"/>
        <w:ind w:start="0" w:end="0"/>
        <w:rPr/>
      </w:pPr>
      <w:r>
        <w:rPr>
          <w:rFonts w:cs="Arial" w:ascii="Arial" w:hAnsi="Arial"/>
        </w:rPr>
        <w:tab/>
        <w:tab/>
        <w:tab/>
        <w:tab/>
        <w:tab/>
        <w:tab/>
      </w:r>
      <w:r>
        <w:rPr>
          <w:rFonts w:cs="Arial" w:ascii="Arial" w:hAnsi="Arial"/>
          <w:u w:val="single"/>
        </w:rPr>
        <w:tab/>
        <w:tab/>
        <w:tab/>
        <w:tab/>
      </w:r>
    </w:p>
    <w:p>
      <w:pPr>
        <w:pStyle w:val="SignatureBlock"/>
        <w:ind w:firstLine="720" w:start="3600" w:end="0"/>
        <w:rPr>
          <w:rFonts w:ascii="Arial" w:hAnsi="Arial" w:cs="Arial"/>
        </w:rPr>
      </w:pPr>
      <w:r>
        <w:rPr>
          <w:rFonts w:cs="Arial" w:ascii="Arial" w:hAnsi="Arial"/>
        </w:rPr>
        <w:t>Julie Simon</w:t>
      </w:r>
    </w:p>
    <w:p>
      <w:pPr>
        <w:pStyle w:val="SignatureBlock"/>
        <w:ind w:firstLine="720" w:start="3600" w:end="0"/>
        <w:rPr>
          <w:rFonts w:ascii="Arial" w:hAnsi="Arial" w:cs="Arial"/>
        </w:rPr>
      </w:pPr>
      <w:r>
        <w:rPr>
          <w:rFonts w:cs="Arial" w:ascii="Arial" w:hAnsi="Arial"/>
        </w:rPr>
        <w:t>Vice President of Policy</w:t>
      </w:r>
    </w:p>
    <w:p>
      <w:pPr>
        <w:pStyle w:val="Normal"/>
        <w:keepNext w:val="true"/>
        <w:tabs>
          <w:tab w:val="clear" w:pos="720"/>
          <w:tab w:val="left" w:pos="3960" w:leader="none"/>
          <w:tab w:val="left" w:pos="4320" w:leader="none"/>
        </w:tabs>
        <w:rPr/>
      </w:pPr>
      <w:r>
        <w:rPr/>
        <w:tab/>
        <w:tab/>
        <w:t>Electric Power Supply Association</w:t>
      </w:r>
    </w:p>
    <w:p>
      <w:pPr>
        <w:pStyle w:val="Normal"/>
        <w:keepNext w:val="true"/>
        <w:tabs>
          <w:tab w:val="clear" w:pos="720"/>
          <w:tab w:val="left" w:pos="3960" w:leader="none"/>
          <w:tab w:val="left" w:pos="4320" w:leader="none"/>
        </w:tabs>
        <w:rPr/>
      </w:pPr>
      <w:r>
        <w:rPr/>
        <w:tab/>
        <w:tab/>
        <w:t>1401 New York Avenue, NW</w:t>
        <w:tab/>
        <w:tab/>
        <w:tab/>
        <w:tab/>
        <w:t>11</w:t>
      </w:r>
      <w:r>
        <w:rPr>
          <w:vertAlign w:val="superscript"/>
        </w:rPr>
        <w:t>th</w:t>
      </w:r>
      <w:r>
        <w:rPr/>
        <w:t xml:space="preserve"> Floor</w:t>
      </w:r>
    </w:p>
    <w:p>
      <w:pPr>
        <w:pStyle w:val="Normal"/>
        <w:keepNext w:val="true"/>
        <w:tabs>
          <w:tab w:val="clear" w:pos="720"/>
          <w:tab w:val="left" w:pos="3960" w:leader="none"/>
          <w:tab w:val="left" w:pos="4320" w:leader="none"/>
        </w:tabs>
        <w:rPr/>
      </w:pPr>
      <w:r>
        <w:rPr/>
        <w:tab/>
        <w:tab/>
        <w:t>Washington, DC 20005</w:t>
      </w:r>
    </w:p>
    <w:p>
      <w:pPr>
        <w:pStyle w:val="Normal"/>
        <w:keepNext w:val="true"/>
        <w:tabs>
          <w:tab w:val="clear" w:pos="720"/>
          <w:tab w:val="left" w:pos="3960" w:leader="none"/>
          <w:tab w:val="left" w:pos="4320" w:leader="none"/>
        </w:tabs>
        <w:rPr/>
      </w:pPr>
      <w:r>
        <w:rPr/>
        <w:tab/>
        <w:tab/>
        <w:t>(202) 628-8200</w:t>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Galliard">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85090" cy="16510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65100"/>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9</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6.7pt;height:13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9</w:t>
                    </w:r>
                    <w:r>
                      <w:rPr>
                        <w:rStyle w:val="PageNumber"/>
                        <w:rFonts w:cs="Arial" w:ascii="Arial" w:hAnsi="Arial"/>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EPSA is the national trade association representing competitive power suppliers active in U.S. and global power markets.  EPSA’s members, which include power generators, power marketers and suppliers of goods and services to the electric power supply industry, share a commitment to bringing the benefits of competition to all electric customers. The comments contained in this filing represent the position of EPSA as an organization, but not necessarily the views of any particular member with respect to any issue. </w:t>
      </w:r>
    </w:p>
  </w:footnote>
  <w:footnote w:id="3">
    <w:p>
      <w:pPr>
        <w:pStyle w:val="FootnoteText"/>
        <w:rPr/>
      </w:pPr>
      <w:r>
        <w:rPr>
          <w:rStyle w:val="FootnoteCharacters"/>
        </w:rPr>
        <w:footnoteRef/>
      </w:r>
      <w:r>
        <w:rPr/>
        <w:t xml:space="preserve"> </w:t>
      </w:r>
      <w:r>
        <w:rPr/>
        <w:t xml:space="preserve">San Diego Gas &amp; Electric Company, Complainant v. Sellers of Energy and Ancillary Services Into Markets Operated by the California Independent System Operator and the California Power Exchange, </w:t>
      </w:r>
      <w:r>
        <w:rPr>
          <w:u w:val="single"/>
        </w:rPr>
        <w:t>et al</w:t>
      </w:r>
      <w:r>
        <w:rPr/>
        <w:t xml:space="preserve">., 93 FERC </w:t>
      </w:r>
      <w:r>
        <w:rPr>
          <w:rFonts w:cs="Tahoma" w:ascii="Tahoma" w:hAnsi="Tahoma"/>
        </w:rPr>
        <w:t>¶</w:t>
      </w:r>
      <w:r>
        <w:rPr/>
        <w:t xml:space="preserve"> 61,294 (2000) (December 15</w:t>
      </w:r>
      <w:r>
        <w:rPr>
          <w:vertAlign w:val="superscript"/>
        </w:rPr>
        <w:t>th</w:t>
      </w:r>
      <w:r>
        <w:rPr/>
        <w:t xml:space="preserve"> Order).</w:t>
      </w:r>
    </w:p>
  </w:footnote>
  <w:footnote w:id="4">
    <w:p>
      <w:pPr>
        <w:pStyle w:val="FootnoteText"/>
        <w:rPr/>
      </w:pPr>
      <w:r>
        <w:rPr>
          <w:rStyle w:val="FootnoteCharacters"/>
        </w:rPr>
        <w:footnoteRef/>
      </w:r>
      <w:r>
        <w:rPr/>
        <w:t xml:space="preserve"> </w:t>
      </w:r>
      <w:r>
        <w:rPr/>
        <w:t>Report</w:t>
      </w:r>
      <w:r>
        <w:rPr>
          <w:i/>
        </w:rPr>
        <w:t xml:space="preserve"> </w:t>
      </w:r>
      <w:r>
        <w:rPr/>
        <w:t>at 1.</w:t>
      </w:r>
    </w:p>
  </w:footnote>
  <w:footnote w:id="5">
    <w:p>
      <w:pPr>
        <w:pStyle w:val="FootnoteText"/>
        <w:rPr/>
      </w:pPr>
      <w:r>
        <w:rPr>
          <w:rStyle w:val="FootnoteCharacters"/>
        </w:rPr>
        <w:footnoteRef/>
      </w:r>
      <w:r>
        <w:rPr/>
        <w:t xml:space="preserve"> </w:t>
      </w:r>
      <w:r>
        <w:rPr>
          <w:i/>
        </w:rPr>
        <w:t>Id</w:t>
      </w:r>
      <w:r>
        <w:rPr/>
        <w:t xml:space="preserve"> at 23.</w:t>
      </w:r>
    </w:p>
  </w:footnote>
  <w:footnote w:id="6">
    <w:p>
      <w:pPr>
        <w:pStyle w:val="FootnoteText"/>
        <w:rPr/>
      </w:pPr>
      <w:r>
        <w:rPr>
          <w:rStyle w:val="FootnoteCharacters"/>
        </w:rPr>
        <w:footnoteRef/>
      </w:r>
      <w:r>
        <w:rPr/>
        <w:t xml:space="preserve"> </w:t>
      </w:r>
      <w:r>
        <w:rPr>
          <w:lang w:eastAsia="en-US"/>
        </w:rPr>
        <w:t xml:space="preserve">A copy of this paper is available at: </w:t>
      </w:r>
      <w:hyperlink r:id="rId1">
        <w:r>
          <w:rPr>
            <w:rStyle w:val="Hyperlink"/>
          </w:rPr>
          <w:t>http://www.cramton.umd.edu/auction-papers.htm</w:t>
        </w:r>
      </w:hyperlink>
    </w:p>
  </w:footnote>
  <w:footnote w:id="7">
    <w:p>
      <w:pPr>
        <w:pStyle w:val="FootnoteText"/>
        <w:rPr/>
      </w:pPr>
      <w:r>
        <w:rPr>
          <w:rStyle w:val="FootnoteCharacters"/>
        </w:rPr>
        <w:footnoteRef/>
      </w:r>
      <w:r>
        <w:rPr/>
        <w:t xml:space="preserve"> </w:t>
      </w:r>
      <w:r>
        <w:rPr>
          <w:i/>
        </w:rPr>
        <w:t>Id</w:t>
      </w:r>
      <w:r>
        <w:rPr/>
        <w:t xml:space="preserve"> at 3.</w:t>
      </w:r>
    </w:p>
  </w:footnote>
  <w:footnote w:id="8">
    <w:p>
      <w:pPr>
        <w:pStyle w:val="FootnoteText"/>
        <w:rPr/>
      </w:pPr>
      <w:r>
        <w:rPr>
          <w:rStyle w:val="FootnoteCharacters"/>
        </w:rPr>
        <w:footnoteRef/>
      </w:r>
      <w:r>
        <w:rPr>
          <w:i/>
        </w:rPr>
        <w:t>Id</w:t>
      </w:r>
      <w:r>
        <w:rPr/>
        <w:t>. at 4.</w:t>
      </w:r>
    </w:p>
  </w:footnote>
  <w:footnote w:id="9">
    <w:p>
      <w:pPr>
        <w:pStyle w:val="FootnoteText"/>
        <w:rPr/>
      </w:pPr>
      <w:r>
        <w:rPr>
          <w:rStyle w:val="FootnoteCharacters"/>
        </w:rPr>
        <w:footnoteRef/>
      </w:r>
      <w:r>
        <w:rPr>
          <w:i/>
        </w:rPr>
        <w:t>California: The Real Story</w:t>
      </w:r>
      <w:r>
        <w:rPr/>
        <w:t xml:space="preserve"> available at </w:t>
      </w:r>
      <w:r>
        <w:rPr>
          <w:u w:val="single"/>
        </w:rPr>
        <w:t>www.epsa.org</w:t>
      </w:r>
      <w:r>
        <w:rPr/>
        <w:t>.</w:t>
      </w:r>
    </w:p>
  </w:footnote>
  <w:footnote w:id="10">
    <w:p>
      <w:pPr>
        <w:pStyle w:val="FootnoteText"/>
        <w:rPr/>
      </w:pPr>
      <w:r>
        <w:rPr>
          <w:rStyle w:val="FootnoteCharacters"/>
        </w:rPr>
        <w:footnoteRef/>
      </w:r>
      <w:r>
        <w:rPr/>
        <w:t xml:space="preserve"> </w:t>
      </w:r>
      <w:r>
        <w:rPr/>
        <w:t>Report, at page 23.</w:t>
      </w:r>
    </w:p>
  </w:footnote>
  <w:footnote w:id="11">
    <w:p>
      <w:pPr>
        <w:pStyle w:val="FootnoteText"/>
        <w:rPr/>
      </w:pPr>
      <w:r>
        <w:rPr>
          <w:rStyle w:val="FootnoteCharacters"/>
        </w:rPr>
        <w:footnoteRef/>
      </w:r>
      <w:r>
        <w:rPr/>
        <w:t xml:space="preserve"> </w:t>
      </w:r>
      <w:r>
        <w:rPr/>
        <w:t xml:space="preserve">Daniel Yergin.  </w:t>
      </w:r>
      <w:r>
        <w:rPr>
          <w:i/>
        </w:rPr>
        <w:t xml:space="preserve">The Prize: The Epic Quest for Oil, Money and Power, Simon and Schuster, 1991.  </w:t>
      </w:r>
    </w:p>
  </w:footnote>
  <w:footnote w:id="12">
    <w:p>
      <w:pPr>
        <w:pStyle w:val="FootnoteText"/>
        <w:rPr/>
      </w:pPr>
      <w:r>
        <w:rPr>
          <w:rStyle w:val="FootnoteCharacters"/>
        </w:rPr>
        <w:footnoteRef/>
      </w:r>
      <w:r>
        <w:rPr/>
        <w:t xml:space="preserve"> </w:t>
      </w:r>
      <w:r>
        <w:rPr/>
        <w:t xml:space="preserve">Available at </w:t>
      </w:r>
      <w:r>
        <w:rPr>
          <w:u w:val="single"/>
        </w:rPr>
        <w:t>www.epsa.org</w:t>
      </w:r>
      <w:r>
        <w:rPr/>
        <w:t>.</w:t>
      </w:r>
    </w:p>
  </w:footnote>
  <w:footnote w:id="13">
    <w:p>
      <w:pPr>
        <w:pStyle w:val="FootnoteText"/>
        <w:rPr/>
      </w:pPr>
      <w:r>
        <w:rPr>
          <w:rStyle w:val="FootnoteCharacters"/>
        </w:rPr>
        <w:footnoteRef/>
      </w:r>
      <w:r>
        <w:rPr/>
        <w:t xml:space="preserve"> “</w:t>
      </w:r>
      <w:r>
        <w:rPr/>
        <w:t>Moreover, we are concerned that a lowering of the financial creditworthiness standard, without some assurance of payment for third party sales, would further increase prices paid by consumers.  This is because,…the tariff revisions likely would increase the risk premium added to the price of power due to the exposure of non-payment</w:t>
      </w:r>
      <w:r>
        <w:rPr>
          <w:i/>
        </w:rPr>
        <w:t>.</w:t>
      </w:r>
      <w:r>
        <w:rPr/>
        <w:t xml:space="preserve">” </w:t>
      </w:r>
      <w:r>
        <w:rPr>
          <w:i/>
        </w:rPr>
        <w:t>California Independent system Operator, et el., 94 FERC 61,132 (2001).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i/>
        <w:i/>
        <w:sz w:val="28"/>
      </w:rPr>
    </w:pPr>
    <w:r>
      <w:rPr>
        <w:rFonts w:cs="Arial" w:ascii="Arial" w:hAnsi="Arial"/>
        <w:b/>
        <w:i/>
        <w:sz w:val="28"/>
      </w:rPr>
      <w:t>DRAFT</w:t>
    </w:r>
  </w:p>
  <w:p>
    <w:pPr>
      <w:pStyle w:val="Header"/>
      <w:jc w:val="end"/>
      <w:rPr>
        <w:rFonts w:ascii="Arial" w:hAnsi="Arial" w:cs="Arial"/>
        <w:b/>
        <w:i/>
        <w:i/>
        <w:sz w:val="28"/>
      </w:rPr>
    </w:pPr>
    <w:r>
      <w:rPr>
        <w:rFonts w:cs="Arial" w:ascii="Arial" w:hAnsi="Arial"/>
        <w:b/>
        <w:i/>
        <w:sz w:val="28"/>
      </w:rPr>
      <w:t>3/19/01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lvl>
  </w:abstractNum>
  <w:abstractNum w:abstractNumId="3">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4">
    <w:lvl w:ilvl="0">
      <w:start w:val="2"/>
      <w:numFmt w:val="upperRoman"/>
      <w:lvlText w:val="%1."/>
      <w:lvlJc w:val="start"/>
      <w:pPr>
        <w:tabs>
          <w:tab w:val="num" w:pos="720"/>
        </w:tabs>
        <w:ind w:start="720" w:hanging="720"/>
      </w:pPr>
      <w:rPr>
        <w:i w:val="false"/>
        <w:b/>
        <w:rFonts w:ascii="Arial" w:hAnsi="Arial" w:cs="Arial"/>
      </w:rPr>
    </w:lvl>
  </w:abstractNum>
  <w:abstractNum w:abstractNumId="5">
    <w:lvl w:ilvl="0">
      <w:start w:val="1"/>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lineRule="auto" w:line="480"/>
      <w:outlineLvl w:val="0"/>
    </w:pPr>
    <w:rPr>
      <w:b/>
    </w:rPr>
  </w:style>
  <w:style w:type="character" w:styleId="WW8Num1z0">
    <w:name w:val="WW8Num1z0"/>
    <w:qFormat/>
    <w:rPr/>
  </w:style>
  <w:style w:type="character" w:styleId="WW8Num2z0">
    <w:name w:val="WW8Num2z0"/>
    <w:qFormat/>
    <w:rPr>
      <w:rFonts w:ascii="Symbol" w:hAnsi="Symbol" w:cs="Symbol"/>
      <w:color w:val="auto"/>
      <w:sz w:val="28"/>
    </w:rPr>
  </w:style>
  <w:style w:type="character" w:styleId="WW8Num3z0">
    <w:name w:val="WW8Num3z0"/>
    <w:qFormat/>
    <w:rPr>
      <w:rFonts w:ascii="Wingdings" w:hAnsi="Wingdings" w:cs="Wingdings"/>
    </w:rPr>
  </w:style>
  <w:style w:type="character" w:styleId="WW8Num4z0">
    <w:name w:val="WW8Num4z0"/>
    <w:qFormat/>
    <w:rPr>
      <w:rFonts w:ascii="Arial" w:hAnsi="Arial" w:cs="Arial"/>
      <w:b/>
      <w:i w:val="false"/>
    </w:rPr>
  </w:style>
  <w:style w:type="character" w:styleId="WW8Num5z0">
    <w:name w:val="WW8Num5z0"/>
    <w:qFormat/>
    <w:rPr>
      <w:rFonts w:ascii="Wingdings" w:hAnsi="Wingdings" w:cs="Wingdings"/>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 indent"/>
    <w:basedOn w:val="Normal"/>
    <w:qFormat/>
    <w:pPr>
      <w:spacing w:lineRule="atLeast" w:line="480"/>
      <w:ind w:firstLine="1440" w:start="0" w:end="0"/>
    </w:pPr>
    <w:rPr>
      <w:rFonts w:ascii="Times New Roman" w:hAnsi="Times New Roman" w:cs="Times New Roman"/>
      <w:lang w:eastAsia="en-US"/>
    </w:rPr>
  </w:style>
  <w:style w:type="paragraph" w:styleId="BodyTextIndent">
    <w:name w:val="Body Text Indent"/>
    <w:basedOn w:val="Normal"/>
    <w:pPr>
      <w:spacing w:lineRule="auto" w:line="480"/>
      <w:ind w:firstLine="720" w:start="0" w:end="0"/>
    </w:pPr>
    <w:rPr>
      <w:rFonts w:ascii="Times New Roman" w:hAnsi="Times New Roman" w:cs="Times New Roman"/>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rFonts w:ascii="Galliard;Times New Roman" w:hAnsi="Galliard;Times New Roman" w:cs="Galliard;Times New Roman"/>
    </w:rPr>
  </w:style>
  <w:style w:type="paragraph" w:styleId="SignatureBlock">
    <w:name w:val="Signature Block"/>
    <w:basedOn w:val="Normal"/>
    <w:qFormat/>
    <w:pPr>
      <w:spacing w:lineRule="exact" w:line="260"/>
      <w:ind w:hanging="0" w:start="4680" w:end="0"/>
    </w:pPr>
    <w:rPr>
      <w:rFonts w:ascii="Galliard;Times New Roman" w:hAnsi="Galliard;Times New Roman" w:cs="Galliard;Times New Roman"/>
    </w:rPr>
  </w:style>
  <w:style w:type="paragraph" w:styleId="Footer">
    <w:name w:val="footer"/>
    <w:basedOn w:val="Normal"/>
    <w:pPr>
      <w:tabs>
        <w:tab w:val="clear" w:pos="720"/>
        <w:tab w:val="center" w:pos="4320" w:leader="none"/>
        <w:tab w:val="right" w:pos="8640" w:leader="none"/>
      </w:tabs>
      <w:spacing w:lineRule="exact" w:line="260"/>
    </w:pPr>
    <w:rPr>
      <w:rFonts w:ascii="Galliard;Times New Roman" w:hAnsi="Galliard;Times New Roman" w:cs="Galliard;Times New Roman"/>
    </w:rPr>
  </w:style>
  <w:style w:type="paragraph" w:styleId="BodyTextIndent2">
    <w:name w:val="Body Text Indent 2"/>
    <w:basedOn w:val="Normal"/>
    <w:qFormat/>
    <w:pPr>
      <w:ind w:hanging="720" w:start="1440" w:end="0"/>
    </w:pPr>
    <w:rPr>
      <w: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cramton.umd.edu/auction-papers.ht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2001-03-14T17:46:00Z</dcterms:created>
  <dc:creator>julie simon</dc:creator>
  <dc:description/>
  <dc:language>en-CA</dc:language>
  <cp:lastModifiedBy>Jackie Gallagher</cp:lastModifiedBy>
  <cp:lastPrinted>2001-03-19T12:25:00Z</cp:lastPrinted>
  <dcterms:modified xsi:type="dcterms:W3CDTF">2001-03-19T14:55:00Z</dcterms:modified>
  <cp:revision>24</cp:revision>
  <dc:subject/>
  <dc:title>UNITED STATES OF AMERICA</dc:title>
</cp:coreProperties>
</file>