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Arial Unicode MS"/>
          <w:sz w:val="20"/>
        </w:rPr>
      </w:pPr>
      <w:r>
        <w:rPr>
          <w:sz w:val="20"/>
        </w:rPr>
        <w:t xml:space="preserve">This year, the Legislature and Governor face the dual challenge of both (1) crafting a budget that addresses the programmatic needs of California citizens and (2) developing strategies for dealing with the state's ongoing electricity crisis. These tasks are especially challenging given that the state's economic and fiscal environment is increasingly uncertain. As discussed in the "Legislative Considerations" section below, decisions made with regard to addressing the state's electricity issues--including the amount of General Fund resources that should be used for this purpose--could have a significant impact on the amount of resources available for other budget priorities and proposals this year. They also could necessitate significant revisions to the Governor's budget proposal between now and its final enactment. </w:t>
      </w:r>
    </w:p>
    <w:p>
      <w:pPr>
        <w:pStyle w:val="NormalWeb"/>
        <w:rPr>
          <w:rFonts w:ascii="Times New Roman" w:hAnsi="Times New Roman" w:cs="Times New Roman"/>
          <w:sz w:val="20"/>
        </w:rPr>
      </w:pPr>
      <w:r>
        <w:rPr>
          <w:rFonts w:cs="Times New Roman" w:ascii="Times New Roman" w:hAnsi="Times New Roman"/>
          <w:sz w:val="20"/>
        </w:rPr>
        <w:t>In this part we discuss the Governor's 2001-02 budget proposal and provide our own perspective on the budget outlook. We then discuss key decisions that the Legislature will face as it juggles addressing both the electricity crisis and its other priorities.</w:t>
      </w:r>
    </w:p>
    <w:p>
      <w:pPr>
        <w:pStyle w:val="Heading4"/>
        <w:ind w:hanging="0" w:start="0"/>
        <w:rPr/>
      </w:pPr>
      <w:r>
        <w:rPr>
          <w:rStyle w:val="Strong"/>
          <w:rFonts w:cs="Times New Roman" w:ascii="Times New Roman" w:hAnsi="Times New Roman"/>
          <w:b w:val="false"/>
          <w:bCs w:val="false"/>
          <w:sz w:val="20"/>
        </w:rPr>
        <w:t>Energy Set-Aside</w:t>
      </w:r>
      <w:r>
        <w:rPr>
          <w:rFonts w:cs="Times New Roman" w:ascii="Times New Roman" w:hAnsi="Times New Roman"/>
          <w:sz w:val="20"/>
        </w:rPr>
        <w:t xml:space="preserve"> </w:t>
      </w:r>
    </w:p>
    <w:p>
      <w:pPr>
        <w:pStyle w:val="NormalWeb"/>
        <w:spacing w:before="0" w:after="0"/>
        <w:rPr/>
      </w:pPr>
      <w:r>
        <w:rPr/>
        <w:t>The budget also includes a $1 billion set-aside for energy-related initiatives, relating to the current electricity crisis facing the state. The funds would be available for programs directed at energy conservation and to increase energy supplies. The administration indicates that specific proposals will be developed in consultation with the Legislature. As discussed in the accompanying shaded box, energy purchases by the state authorized by (1) the Governor's emergency proclamation; (2) Chapter 4x, Statutes of 2001 (AB 1x, Keeley); and (3) Chapter 3x, Statutes of 2001 (SB 7x, Burton) will be reimbursed from revenue bond proceeds. Thus, they will not affect the General Fund resources available for the energy set-asides.</w:t>
      </w:r>
    </w:p>
    <w:tbl>
      <w:tblPr>
        <w:tblW w:w="4000" w:type="pct"/>
        <w:jc w:val="center"/>
        <w:tblInd w:w="0" w:type="dxa"/>
        <w:tblLayout w:type="fixed"/>
        <w:tblCellMar>
          <w:top w:w="210" w:type="dxa"/>
          <w:start w:w="210" w:type="dxa"/>
          <w:bottom w:w="210" w:type="dxa"/>
          <w:end w:w="210" w:type="dxa"/>
        </w:tblCellMar>
      </w:tblPr>
      <w:tblGrid>
        <w:gridCol w:w="6912"/>
      </w:tblGrid>
      <w:tr>
        <w:trPr/>
        <w:tc>
          <w:tcPr>
            <w:tcW w:w="6912" w:type="dxa"/>
            <w:tcBorders>
              <w:top w:val="thickThinLargeGap" w:sz="6" w:space="0" w:color="808080"/>
              <w:start w:val="thickThinLargeGap" w:sz="6" w:space="0" w:color="808080"/>
              <w:bottom w:val="thickThinLargeGap" w:sz="6" w:space="0" w:color="808080"/>
              <w:end w:val="thickThinLargeGap" w:sz="6" w:space="0" w:color="808080"/>
            </w:tcBorders>
            <w:shd w:fill="C0C0C0" w:val="clear"/>
            <w:vAlign w:val="center"/>
          </w:tcPr>
          <w:p>
            <w:pPr>
              <w:pStyle w:val="Normal"/>
              <w:rPr/>
            </w:pPr>
            <w:r>
              <w:rPr>
                <w:rStyle w:val="Strong"/>
                <w:sz w:val="20"/>
              </w:rPr>
              <w:t>State Electricity Purchases</w:t>
            </w:r>
            <w:r>
              <w:rPr>
                <w:sz w:val="20"/>
              </w:rPr>
              <w:t xml:space="preserve"> </w:t>
            </w:r>
          </w:p>
          <w:p>
            <w:pPr>
              <w:pStyle w:val="NormalWeb"/>
              <w:rPr>
                <w:rFonts w:ascii="Times New Roman" w:hAnsi="Times New Roman" w:cs="Times New Roman"/>
                <w:sz w:val="20"/>
              </w:rPr>
            </w:pPr>
            <w:r>
              <w:rPr>
                <w:rStyle w:val="Emphasis"/>
                <w:rFonts w:cs="Times New Roman" w:ascii="Times New Roman" w:hAnsi="Times New Roman"/>
                <w:b/>
                <w:bCs/>
                <w:sz w:val="20"/>
                <w:szCs w:val="20"/>
              </w:rPr>
              <w:t xml:space="preserve">Background. </w:t>
            </w:r>
            <w:r>
              <w:rPr>
                <w:rFonts w:cs="Times New Roman" w:ascii="Times New Roman" w:hAnsi="Times New Roman"/>
                <w:sz w:val="20"/>
                <w:szCs w:val="20"/>
              </w:rPr>
              <w:t>On February 1, the Governor signed Chapter 4x, Statutes of 2001 (AB 1x, Keeley), which authorizes the state Department of Water Resources (DWR) to enter into contracts to purchase electricity for resale to utility customers in California. With this measure, the state government is now a key purchaser of electricity for customers of California's private investor-owned utilities. Assembly Bill 1x also authorizes the state to issue revenue bonds to help finance the power purchases, and authorizes the California Public Utilities Commission (CPUC) to set rates which are adequate to cover DWR's power purchasing costs and debt repayments. Although the amount of debt authorized is based on a formula which will be calculated by the CPUC, the administration has indicated that it will likely be in the range of $10 billion.</w:t>
            </w:r>
          </w:p>
          <w:p>
            <w:pPr>
              <w:pStyle w:val="NormalWeb"/>
              <w:rPr>
                <w:rFonts w:ascii="Times New Roman" w:hAnsi="Times New Roman" w:cs="Times New Roman"/>
                <w:sz w:val="20"/>
              </w:rPr>
            </w:pPr>
            <w:r>
              <w:rPr>
                <w:rFonts w:cs="Times New Roman" w:ascii="Times New Roman" w:hAnsi="Times New Roman"/>
                <w:sz w:val="20"/>
                <w:szCs w:val="20"/>
              </w:rPr>
              <w:t>The measure also appropriates $500 million from the General Fund to cover the initial costs of purchasing electricity, and authorizes the state to incur additional deficiencies for this purpose. As of mid-February, the state had used up the $500 million AB 1x appropriation, and had submitted a $500 million deficiency to finance additional power purchases. When combined with $600 million previously authorized by (1) Chapter 3x, Statutes of 2001 (SB 7x, Burton) and (2) the Governor's January 17 emergency proclamation, the state has thus far committed $1.6 billion for electricity purchases.</w:t>
            </w:r>
          </w:p>
          <w:p>
            <w:pPr>
              <w:pStyle w:val="NormalWeb"/>
              <w:rPr>
                <w:rFonts w:ascii="Times New Roman" w:hAnsi="Times New Roman" w:cs="Times New Roman"/>
                <w:sz w:val="20"/>
              </w:rPr>
            </w:pPr>
            <w:r>
              <w:rPr>
                <w:rStyle w:val="Emphasis"/>
                <w:rFonts w:cs="Times New Roman" w:ascii="Times New Roman" w:hAnsi="Times New Roman"/>
                <w:b/>
                <w:bCs/>
                <w:sz w:val="20"/>
                <w:szCs w:val="20"/>
              </w:rPr>
              <w:t xml:space="preserve">Large Electricity Purchases Are Scheduled. </w:t>
            </w:r>
            <w:r>
              <w:rPr>
                <w:rFonts w:cs="Times New Roman" w:ascii="Times New Roman" w:hAnsi="Times New Roman"/>
                <w:sz w:val="20"/>
                <w:szCs w:val="20"/>
              </w:rPr>
              <w:t>Between now (mid-February) and when the first bond sales occur (currently estimated to be in early May), the General Fund will incur large additional electricity purchase costs--potentially exceeding $2 billion. These large outlays will occur for two reasons. First, there is a 75-day electricity billing cycle, meaning that the General Fund will not receive the first reimbursements for DWR's purchases until mid-April. Second, even after the reimbursements begin, the customers' regulated rate for wholesale purchases (about 7¢/kwh) is well below current-wholesale costs (over 25¢/kwh). The state is currently negotiating fixed-price contracts in an attempt to bring DWR's future procurement costs down. Given current market conditions, however, these costs will likely remain well above current-regulated customer rates during 2001.</w:t>
            </w:r>
            <w:r>
              <w:rPr>
                <w:rStyle w:val="Emphasis"/>
                <w:rFonts w:cs="Times New Roman" w:ascii="Times New Roman" w:hAnsi="Times New Roman"/>
                <w:b/>
                <w:bCs/>
                <w:sz w:val="20"/>
              </w:rPr>
              <w:t xml:space="preserve"> </w:t>
            </w:r>
          </w:p>
          <w:p>
            <w:pPr>
              <w:pStyle w:val="NormalWeb"/>
              <w:rPr>
                <w:rFonts w:ascii="Times New Roman" w:hAnsi="Times New Roman" w:cs="Times New Roman"/>
                <w:sz w:val="20"/>
              </w:rPr>
            </w:pPr>
            <w:r>
              <w:rPr>
                <w:rStyle w:val="Emphasis"/>
                <w:rFonts w:cs="Times New Roman" w:ascii="Times New Roman" w:hAnsi="Times New Roman"/>
                <w:b/>
                <w:bCs/>
                <w:sz w:val="20"/>
                <w:szCs w:val="20"/>
              </w:rPr>
              <w:t>Current General Fund Appropriations to Be Fully Reimbursed</w:t>
            </w:r>
            <w:r>
              <w:rPr>
                <w:rFonts w:cs="Times New Roman" w:ascii="Times New Roman" w:hAnsi="Times New Roman"/>
                <w:sz w:val="20"/>
                <w:szCs w:val="20"/>
              </w:rPr>
              <w:t xml:space="preserve">. Under the terms of AB 1x, </w:t>
            </w:r>
            <w:r>
              <w:rPr>
                <w:rStyle w:val="Emphasis"/>
                <w:rFonts w:cs="Times New Roman" w:ascii="Times New Roman" w:hAnsi="Times New Roman"/>
                <w:sz w:val="20"/>
                <w:szCs w:val="20"/>
              </w:rPr>
              <w:t>all</w:t>
            </w:r>
            <w:r>
              <w:rPr>
                <w:rFonts w:cs="Times New Roman" w:ascii="Times New Roman" w:hAnsi="Times New Roman"/>
                <w:sz w:val="20"/>
                <w:szCs w:val="20"/>
              </w:rPr>
              <w:t xml:space="preserve"> General Fund outlays for electricity purchases including interest costs made since the Governor's January 17 emergency proclamation order will be reimbursed from the bond proceeds--including both the $1.6 billion in commitments made through mid-February and the additional deficiencies that are incurred between mid-February and May. Thus, while current electricity purchases will have a temporary adverse effect on the General Fund's cash position, </w:t>
            </w:r>
            <w:r>
              <w:rPr>
                <w:rStyle w:val="Emphasis"/>
                <w:rFonts w:cs="Times New Roman" w:ascii="Times New Roman" w:hAnsi="Times New Roman"/>
                <w:sz w:val="20"/>
                <w:szCs w:val="20"/>
              </w:rPr>
              <w:t>they will not affect the General Fund's budget condition</w:t>
            </w:r>
            <w:r>
              <w:rPr>
                <w:rFonts w:cs="Times New Roman" w:ascii="Times New Roman" w:hAnsi="Times New Roman"/>
                <w:sz w:val="20"/>
                <w:szCs w:val="20"/>
              </w:rPr>
              <w:t>. Under existing law, all electricity purchases currently authorized will be borne by California's utility customers through their future rate payments.</w:t>
            </w:r>
            <w:r>
              <w:rPr>
                <w:rStyle w:val="Emphasis"/>
                <w:rFonts w:cs="Times New Roman" w:ascii="Times New Roman" w:hAnsi="Times New Roman"/>
                <w:b/>
                <w:bCs/>
                <w:sz w:val="20"/>
              </w:rPr>
              <w:t xml:space="preserve"> </w:t>
            </w:r>
          </w:p>
          <w:p>
            <w:pPr>
              <w:pStyle w:val="NormalWeb"/>
              <w:spacing w:before="100" w:after="100"/>
              <w:rPr>
                <w:rFonts w:ascii="Times New Roman" w:hAnsi="Times New Roman" w:cs="Times New Roman"/>
                <w:sz w:val="20"/>
              </w:rPr>
            </w:pPr>
            <w:r>
              <w:rPr>
                <w:rStyle w:val="Emphasis"/>
                <w:rFonts w:cs="Times New Roman" w:ascii="Times New Roman" w:hAnsi="Times New Roman"/>
                <w:b/>
                <w:bCs/>
                <w:sz w:val="20"/>
                <w:szCs w:val="20"/>
              </w:rPr>
              <w:t>Future Fiscal Pressures Could Emerge.</w:t>
            </w:r>
            <w:r>
              <w:rPr>
                <w:rFonts w:cs="Times New Roman" w:ascii="Times New Roman" w:hAnsi="Times New Roman"/>
                <w:sz w:val="20"/>
                <w:szCs w:val="20"/>
              </w:rPr>
              <w:t xml:space="preserve"> While in the near term the bond proceeds will be used to cushion ratepayers from the full magnitude of high electricity costs, these funds are not inexhaustible. At some point, customer rates will need to be raised to cover DWR's purchasing requirements or another funding source will need to be found.</w:t>
            </w:r>
          </w:p>
        </w:tc>
      </w:tr>
    </w:tbl>
    <w:p>
      <w:pPr>
        <w:pStyle w:val="Heading4"/>
        <w:ind w:hanging="0" w:start="0"/>
        <w:rPr>
          <w:rFonts w:ascii="Times New Roman" w:hAnsi="Times New Roman" w:cs="Times New Roman"/>
          <w:sz w:val="20"/>
        </w:rPr>
      </w:pPr>
      <w:r>
        <w:rPr>
          <w:rFonts w:cs="Times New Roman" w:ascii="Times New Roman" w:hAnsi="Times New Roman"/>
          <w:sz w:val="20"/>
        </w:rPr>
        <w:t>One-Time Spending</w:t>
      </w:r>
    </w:p>
    <w:p>
      <w:pPr>
        <w:pStyle w:val="NormalWeb"/>
        <w:spacing w:before="0" w:after="0"/>
        <w:rPr/>
      </w:pPr>
      <w:r>
        <w:rPr/>
        <w:t xml:space="preserve">As shown in Figure 7, the budget is proposing about $3.3 billion in new one-time programmatic spending in 2001-02 (this one-time amount excludes the $2.4 billion noted earlier that is allocated to reserves). This includes the $1 billion set-aside for various energy initiatives and $772 million in direct appropriations for capital outlay. The budget also includes significant one-time funds for local fiscal relief, new housing initiatives, and various environmental and resources-related purposes. </w:t>
      </w:r>
    </w:p>
    <w:tbl>
      <w:tblPr>
        <w:tblW w:w="2000" w:type="pct"/>
        <w:jc w:val="center"/>
        <w:tblInd w:w="0" w:type="dxa"/>
        <w:tblLayout w:type="fixed"/>
        <w:tblCellMar>
          <w:top w:w="15" w:type="dxa"/>
          <w:start w:w="15" w:type="dxa"/>
          <w:bottom w:w="15" w:type="dxa"/>
          <w:end w:w="15" w:type="dxa"/>
        </w:tblCellMar>
      </w:tblPr>
      <w:tblGrid>
        <w:gridCol w:w="1972"/>
        <w:gridCol w:w="1484"/>
      </w:tblGrid>
      <w:tr>
        <w:trPr/>
        <w:tc>
          <w:tcPr>
            <w:tcW w:w="3456" w:type="dxa"/>
            <w:gridSpan w:val="2"/>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eastAsia="Arial Unicode MS"/>
                <w:color w:val="000000"/>
                <w:sz w:val="20"/>
              </w:rPr>
            </w:pPr>
            <w:r>
              <w:rPr>
                <w:rStyle w:val="Strong"/>
                <w:sz w:val="20"/>
                <w:szCs w:val="20"/>
              </w:rPr>
              <w:t>Figure 7</w:t>
            </w:r>
          </w:p>
        </w:tc>
      </w:tr>
      <w:tr>
        <w:trPr/>
        <w:tc>
          <w:tcPr>
            <w:tcW w:w="3456" w:type="dxa"/>
            <w:gridSpan w:val="2"/>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eastAsia="Arial Unicode MS"/>
                <w:color w:val="000000"/>
                <w:sz w:val="20"/>
              </w:rPr>
            </w:pPr>
            <w:r>
              <w:rPr>
                <w:rStyle w:val="Strong"/>
                <w:sz w:val="20"/>
              </w:rPr>
              <w:t>Key One-Time Commitments</w:t>
            </w:r>
            <w:r>
              <w:rPr>
                <w:b/>
                <w:bCs/>
                <w:sz w:val="20"/>
              </w:rPr>
              <w:br/>
            </w:r>
            <w:r>
              <w:rPr>
                <w:rStyle w:val="Strong"/>
                <w:sz w:val="20"/>
              </w:rPr>
              <w:t>Proposed in the 2001-02 Budget</w:t>
            </w:r>
          </w:p>
        </w:tc>
      </w:tr>
      <w:tr>
        <w:trPr/>
        <w:tc>
          <w:tcPr>
            <w:tcW w:w="3456" w:type="dxa"/>
            <w:gridSpan w:val="2"/>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eastAsia="Arial Unicode MS"/>
                <w:color w:val="000000"/>
                <w:sz w:val="20"/>
              </w:rPr>
            </w:pPr>
            <w:r>
              <w:rPr>
                <w:rStyle w:val="Emphasis"/>
                <w:sz w:val="20"/>
                <w:szCs w:val="20"/>
              </w:rPr>
              <w:t>(In Millions)</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rStyle w:val="Strong"/>
                <w:sz w:val="20"/>
                <w:szCs w:val="20"/>
              </w:rPr>
              <w:t>Purpose</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rStyle w:val="Strong"/>
                <w:sz w:val="20"/>
                <w:szCs w:val="20"/>
              </w:rPr>
              <w:t>Amount</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Energy initiatives set-aside</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$1,000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Capital outlay</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772</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Local government fiscal relief</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250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New housing initiatives</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220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Diesel replacement</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100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Clean beaches</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100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Law enforcement technology grants</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75</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Flood control subventions</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74</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River parkway initiative</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70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Prison electromechanical doors</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58</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Zero-emission vehicle subsidies</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50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Touch screen voting pilot project</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40</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sz w:val="20"/>
                <w:szCs w:val="20"/>
              </w:rPr>
              <w:t>Other</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Web"/>
              <w:spacing w:before="100" w:after="100"/>
              <w:jc w:val="end"/>
              <w:rPr>
                <w:rFonts w:ascii="Times New Roman" w:hAnsi="Times New Roman" w:cs="Times New Roman"/>
                <w:sz w:val="20"/>
              </w:rPr>
            </w:pPr>
            <w:r>
              <w:rPr>
                <w:rFonts w:cs="Times New Roman" w:ascii="Times New Roman" w:hAnsi="Times New Roman"/>
                <w:sz w:val="20"/>
                <w:szCs w:val="20"/>
              </w:rPr>
              <w:t>505</w:t>
            </w:r>
          </w:p>
        </w:tc>
      </w:tr>
      <w:tr>
        <w:trPr/>
        <w:tc>
          <w:tcPr>
            <w:tcW w:w="1972"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rStyle w:val="Strong"/>
                <w:sz w:val="20"/>
                <w:szCs w:val="20"/>
              </w:rPr>
              <w:t>Total</w:t>
            </w:r>
          </w:p>
        </w:tc>
        <w:tc>
          <w:tcPr>
            <w:tcW w:w="14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rStyle w:val="Strong"/>
                <w:sz w:val="20"/>
                <w:szCs w:val="20"/>
              </w:rPr>
              <w:t>$3,314</w:t>
            </w:r>
          </w:p>
        </w:tc>
      </w:tr>
    </w:tbl>
    <w:p>
      <w:pPr>
        <w:pStyle w:val="Normal"/>
        <w:rPr>
          <w:sz w:val="20"/>
        </w:rPr>
      </w:pPr>
      <w:r>
        <w:rPr>
          <w:sz w:val="20"/>
        </w:rPr>
      </w:r>
    </w:p>
    <w:p>
      <w:pPr>
        <w:pStyle w:val="Heading2"/>
        <w:ind w:hanging="0" w:start="0"/>
        <w:rPr/>
      </w:pPr>
      <w:r>
        <w:rPr>
          <w:rStyle w:val="Strong"/>
          <w:b w:val="false"/>
          <w:bCs w:val="false"/>
          <w:sz w:val="20"/>
        </w:rPr>
        <w:t>Legislative Considerations</w:t>
      </w:r>
      <w:r>
        <w:rPr>
          <w:sz w:val="20"/>
        </w:rPr>
        <w:t xml:space="preserve"> </w:t>
      </w:r>
    </w:p>
    <w:p>
      <w:pPr>
        <w:pStyle w:val="NormalWeb"/>
        <w:spacing w:before="0" w:after="0"/>
        <w:rPr>
          <w:sz w:val="20"/>
        </w:rPr>
      </w:pPr>
      <w:r>
        <w:rPr>
          <w:sz w:val="20"/>
        </w:rPr>
        <w:t>The Legislature will be developing a budget amidst one of the most unusual and challenging set of circumstances in recent history. With the passage of AB 1x, the Governor and Legislature have taken a first step toward stabilizing the state's electricity markets. However, the Legislature now faces a number of major decisions relating to the state's longer-term role in the electricity markets.</w:t>
      </w:r>
    </w:p>
    <w:p>
      <w:pPr>
        <w:pStyle w:val="NormalWeb"/>
        <w:spacing w:before="0" w:after="0"/>
        <w:rPr>
          <w:sz w:val="20"/>
        </w:rPr>
      </w:pPr>
      <w:r>
        <w:rPr>
          <w:sz w:val="20"/>
        </w:rPr>
        <w:t>One of the basic questions it faces involves the extent to which General Fund resources will be committed for such purposes as utility ratepayer relief, incentives for conservation, and increasing energy supplies. Given the enormous size of California's economy and energy markets, and depending on the types of activities considered, General Fund fiscal exposure could easily surpass the one-time amount set aside in the budget for energy initiatives.</w:t>
      </w:r>
    </w:p>
    <w:p>
      <w:pPr>
        <w:pStyle w:val="NormalWeb"/>
        <w:spacing w:before="0" w:after="0"/>
        <w:rPr/>
      </w:pPr>
      <w:r>
        <w:rPr>
          <w:sz w:val="20"/>
        </w:rPr>
        <w:t>Thus, in addition to the fundamental choices it faces regarding the direction of future energy policy, the Legislature will need to decide--early on--the extent to which it intends to use General Fund resources to achieve its goals in the energy area. If significant General Fund resources are to be committed to the energy crisis, it will be extremely important that this be taken into account as the 2001-02 budget is crafted. In this regard, we recommend that the Legislature withhold consideration of $2.3 billion of the Governor's one-time proposals in the areas outside of energy until May, when the nature and costs of energy-related legislation are better known and the revenue outlook becomes clearer.</w:t>
      </w:r>
      <w:r>
        <w:rPr>
          <w:rFonts w:cs="Helvetica" w:ascii="Helvetica" w:hAnsi="Helvetica"/>
          <w:sz w:val="20"/>
        </w:rPr>
        <w:t xml:space="preserve"> </w:t>
      </w:r>
    </w:p>
    <w:p>
      <w:pPr>
        <w:pStyle w:val="Normal"/>
        <w:rPr>
          <w:rFonts w:ascii="Helvetica" w:hAnsi="Helvetica" w:cs="Helvetica"/>
          <w:sz w:val="20"/>
        </w:rPr>
      </w:pPr>
      <w:r>
        <w:rPr>
          <w:rFonts w:cs="Helvetica" w:ascii="Helvetica" w:hAnsi="Helvetica"/>
          <w:sz w:val="20"/>
        </w:rPr>
      </w:r>
    </w:p>
    <w:p>
      <w:pPr>
        <w:pStyle w:val="Heading2"/>
        <w:ind w:hanging="0" w:start="0"/>
        <w:rPr/>
      </w:pPr>
      <w:r>
        <w:rPr>
          <w:rStyle w:val="Strong"/>
          <w:rFonts w:cs="Times New Roman" w:ascii="Times New Roman" w:hAnsi="Times New Roman"/>
          <w:b w:val="false"/>
          <w:bCs w:val="false"/>
          <w:sz w:val="20"/>
        </w:rPr>
        <w:t>The Economic Outlook</w:t>
      </w:r>
      <w:r>
        <w:rPr>
          <w:rFonts w:cs="Times New Roman" w:ascii="Times New Roman" w:hAnsi="Times New Roman"/>
          <w:sz w:val="20"/>
        </w:rPr>
        <w:t xml:space="preserve"> </w:t>
      </w:r>
    </w:p>
    <w:p>
      <w:pPr>
        <w:pStyle w:val="NormalWeb"/>
        <w:spacing w:before="0" w:after="0"/>
        <w:rPr/>
      </w:pPr>
      <w:r>
        <w:rPr>
          <w:rStyle w:val="Emphasis"/>
          <w:rFonts w:cs="Times New Roman" w:ascii="Times New Roman" w:hAnsi="Times New Roman"/>
          <w:b/>
          <w:bCs/>
          <w:sz w:val="20"/>
        </w:rPr>
        <w:t>Our "Bottom Line</w:t>
      </w:r>
      <w:r>
        <w:rPr>
          <w:rFonts w:cs="Times New Roman" w:ascii="Times New Roman" w:hAnsi="Times New Roman"/>
          <w:sz w:val="20"/>
        </w:rPr>
        <w:t>." Although California's long-term economic outlook remains positive, the state faces major near-term challenges associated with the current weakening in U.S. growth, a high-tech cyclical downturn, and rising costs in certain key areas in the economy.</w:t>
      </w:r>
    </w:p>
    <w:p>
      <w:pPr>
        <w:pStyle w:val="NormalWeb"/>
        <w:spacing w:before="0" w:after="0"/>
        <w:rPr>
          <w:rFonts w:ascii="Times New Roman" w:hAnsi="Times New Roman" w:cs="Times New Roman"/>
          <w:sz w:val="20"/>
        </w:rPr>
      </w:pPr>
      <w:r>
        <w:rPr>
          <w:rFonts w:cs="Times New Roman" w:ascii="Times New Roman" w:hAnsi="Times New Roman"/>
          <w:sz w:val="20"/>
        </w:rPr>
        <w:t>In addition, although the state is making progress toward reaching a near-term resolution to its power crisis, the electricity market will remain under considerable pressure. This summer, for example, the adequacy of electricity supplies is uncertain and will depend on such factors as temperatures in the U.S. western region, the availability of hydroelectric power, and the success of conservation efforts.</w:t>
      </w:r>
    </w:p>
    <w:p>
      <w:pPr>
        <w:pStyle w:val="Normal"/>
        <w:rPr>
          <w:rFonts w:ascii="Times New Roman" w:hAnsi="Times New Roman" w:cs="Times New Roman"/>
          <w:sz w:val="20"/>
        </w:rPr>
      </w:pPr>
      <w:r>
        <w:rPr>
          <w:rFonts w:cs="Times New Roman"/>
          <w:sz w:val="20"/>
        </w:rPr>
      </w:r>
    </w:p>
    <w:p>
      <w:pPr>
        <w:pStyle w:val="Heading4"/>
        <w:ind w:hanging="0" w:start="0"/>
        <w:rPr>
          <w:rFonts w:ascii="Times New Roman" w:hAnsi="Times New Roman" w:cs="Times New Roman"/>
          <w:sz w:val="20"/>
        </w:rPr>
      </w:pPr>
      <w:r>
        <w:rPr>
          <w:rStyle w:val="Strong"/>
          <w:rFonts w:cs="Times New Roman" w:ascii="Times New Roman" w:hAnsi="Times New Roman"/>
          <w:b w:val="false"/>
          <w:bCs w:val="false"/>
          <w:sz w:val="20"/>
        </w:rPr>
        <w:t xml:space="preserve">California Escaped a Slowdown in 2000 </w:t>
      </w:r>
    </w:p>
    <w:p>
      <w:pPr>
        <w:pStyle w:val="NormalWeb"/>
        <w:spacing w:before="0" w:after="0"/>
        <w:rPr/>
      </w:pPr>
      <w:r>
        <w:rPr/>
        <w:t xml:space="preserve">The national slowdown that began in mid-2000 did not materially affect California. The state's job growth, personal income tax withholding, and retail sales all remained healthy through December (see Figure 2). As a result, 2000 was the strongest year of California's current economic expansion, with total personal income and taxable sales increasing by about 11 percent, and employment up by more than 3.5 percent. Reflecting strong economy-wide job growth, the state's unemployment rate had fallen to 4.8 percent by year-end, with the rates in several Bay Area counties hovering around 1.5 percent--an all-time low. </w:t>
      </w:r>
    </w:p>
    <w:tbl>
      <w:tblPr>
        <w:tblW w:w="3000" w:type="pct"/>
        <w:jc w:val="center"/>
        <w:tblInd w:w="0" w:type="dxa"/>
        <w:tblLayout w:type="fixed"/>
        <w:tblCellMar>
          <w:top w:w="15" w:type="dxa"/>
          <w:start w:w="15" w:type="dxa"/>
          <w:bottom w:w="15" w:type="dxa"/>
          <w:end w:w="15" w:type="dxa"/>
        </w:tblCellMar>
      </w:tblPr>
      <w:tblGrid>
        <w:gridCol w:w="5184"/>
      </w:tblGrid>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100" w:after="100"/>
              <w:rPr>
                <w:rFonts w:ascii="Times New Roman" w:hAnsi="Times New Roman" w:cs="Times New Roman"/>
                <w:sz w:val="20"/>
              </w:rPr>
            </w:pPr>
            <w:r>
              <w:rPr>
                <w:rStyle w:val="Strong"/>
                <w:rFonts w:cs="Times New Roman" w:ascii="Times New Roman" w:hAnsi="Times New Roman"/>
                <w:sz w:val="20"/>
                <w:szCs w:val="20"/>
              </w:rPr>
              <w:t>Figure 2</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eastAsia="Arial Unicode MS"/>
                <w:color w:val="000000"/>
                <w:sz w:val="20"/>
              </w:rPr>
            </w:pPr>
            <w:r>
              <w:rPr>
                <w:rStyle w:val="Strong"/>
                <w:sz w:val="20"/>
              </w:rPr>
              <w:t>California's Current Economic Situation</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b/>
                <w:bCs/>
                <w:sz w:val="20"/>
                <w:szCs w:val="20"/>
              </w:rPr>
              <w:drawing>
                <wp:inline distT="0" distB="0" distL="0" distR="0">
                  <wp:extent cx="304165" cy="295910"/>
                  <wp:effectExtent l="0" t="0" r="0" b="0"/>
                  <wp:docPr id="1" name="checkbox"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descr="" title=""/>
                          <pic:cNvPicPr>
                            <a:picLocks noChangeAspect="1" noChangeArrowheads="1"/>
                          </pic:cNvPicPr>
                        </pic:nvPicPr>
                        <pic:blipFill>
                          <a:blip r:embed="rId2"/>
                          <a:srcRect l="-118" t="-122" r="-118" b="-122"/>
                          <a:stretch>
                            <a:fillRect/>
                          </a:stretch>
                        </pic:blipFill>
                        <pic:spPr bwMode="auto">
                          <a:xfrm>
                            <a:off x="0" y="0"/>
                            <a:ext cx="304165" cy="295910"/>
                          </a:xfrm>
                          <a:prstGeom prst="rect">
                            <a:avLst/>
                          </a:prstGeom>
                          <a:noFill/>
                        </pic:spPr>
                      </pic:pic>
                    </a:graphicData>
                  </a:graphic>
                </wp:inline>
              </w:drawing>
            </w:r>
            <w:r>
              <w:rPr>
                <w:rStyle w:val="Strong"/>
                <w:sz w:val="20"/>
                <w:szCs w:val="20"/>
              </w:rPr>
              <w:t>Economy Entered 2001 With Considerable Momentum</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numPr>
                <w:ilvl w:val="0"/>
                <w:numId w:val="7"/>
              </w:numPr>
              <w:spacing w:before="100" w:after="100"/>
              <w:rPr>
                <w:rFonts w:eastAsia="Arial Unicode MS"/>
                <w:color w:val="000000"/>
                <w:sz w:val="20"/>
              </w:rPr>
            </w:pPr>
            <w:r>
              <w:rPr>
                <w:sz w:val="20"/>
                <w:szCs w:val="20"/>
              </w:rPr>
              <w:t>Job growth, income tax withholding receipts, and retail sales all were healthy through December.</w:t>
            </w:r>
            <w:r>
              <w:rPr>
                <w:sz w:val="20"/>
              </w:rPr>
              <w:t xml:space="preserve"> </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numPr>
                <w:ilvl w:val="0"/>
                <w:numId w:val="6"/>
              </w:numPr>
              <w:spacing w:before="100" w:after="100"/>
              <w:rPr>
                <w:rFonts w:eastAsia="Arial Unicode MS"/>
                <w:color w:val="000000"/>
                <w:sz w:val="20"/>
              </w:rPr>
            </w:pPr>
            <w:r>
              <w:rPr>
                <w:sz w:val="20"/>
                <w:szCs w:val="20"/>
              </w:rPr>
              <w:t>The state's unemployment rate was near all-time lows.</w:t>
            </w:r>
            <w:r>
              <w:rPr>
                <w:sz w:val="20"/>
              </w:rPr>
              <w:t xml:space="preserve"> </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eastAsia="Arial Unicode MS"/>
                <w:color w:val="000000"/>
                <w:sz w:val="20"/>
              </w:rPr>
            </w:pPr>
            <w:r>
              <w:rPr>
                <w:b/>
                <w:bCs/>
                <w:sz w:val="20"/>
                <w:szCs w:val="20"/>
              </w:rPr>
              <w:drawing>
                <wp:inline distT="0" distB="0" distL="0" distR="0">
                  <wp:extent cx="304165" cy="2959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18" t="-122" r="-118" b="-122"/>
                          <a:stretch>
                            <a:fillRect/>
                          </a:stretch>
                        </pic:blipFill>
                        <pic:spPr bwMode="auto">
                          <a:xfrm>
                            <a:off x="0" y="0"/>
                            <a:ext cx="304165" cy="295910"/>
                          </a:xfrm>
                          <a:prstGeom prst="rect">
                            <a:avLst/>
                          </a:prstGeom>
                          <a:noFill/>
                        </pic:spPr>
                      </pic:pic>
                    </a:graphicData>
                  </a:graphic>
                </wp:inline>
              </w:drawing>
            </w:r>
            <w:r>
              <w:rPr>
                <w:rStyle w:val="Strong"/>
                <w:sz w:val="20"/>
                <w:szCs w:val="20"/>
              </w:rPr>
              <w:t>But Major Challenges Lie Ahead</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numPr>
                <w:ilvl w:val="0"/>
                <w:numId w:val="5"/>
              </w:numPr>
              <w:spacing w:before="100" w:after="100"/>
              <w:rPr>
                <w:rFonts w:eastAsia="Arial Unicode MS"/>
                <w:color w:val="000000"/>
                <w:sz w:val="20"/>
              </w:rPr>
            </w:pPr>
            <w:r>
              <w:rPr>
                <w:sz w:val="20"/>
                <w:szCs w:val="20"/>
              </w:rPr>
              <w:t>Slowing U.S. spending in areas that affect California, particularly on high-tech products.</w:t>
            </w:r>
            <w:r>
              <w:rPr>
                <w:sz w:val="20"/>
              </w:rPr>
              <w:t xml:space="preserve"> </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numPr>
                <w:ilvl w:val="0"/>
                <w:numId w:val="2"/>
              </w:numPr>
              <w:spacing w:before="100" w:after="100"/>
              <w:rPr>
                <w:rFonts w:eastAsia="Arial Unicode MS"/>
                <w:color w:val="000000"/>
                <w:sz w:val="20"/>
              </w:rPr>
            </w:pPr>
            <w:r>
              <w:rPr>
                <w:sz w:val="20"/>
                <w:szCs w:val="20"/>
              </w:rPr>
              <w:t>Recent declines in stock market-related wealth.</w:t>
            </w:r>
            <w:r>
              <w:rPr>
                <w:sz w:val="20"/>
              </w:rPr>
              <w:t xml:space="preserve"> </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numPr>
                <w:ilvl w:val="0"/>
                <w:numId w:val="4"/>
              </w:numPr>
              <w:spacing w:before="100" w:after="100"/>
              <w:rPr>
                <w:rFonts w:eastAsia="Arial Unicode MS"/>
                <w:color w:val="000000"/>
                <w:sz w:val="20"/>
              </w:rPr>
            </w:pPr>
            <w:r>
              <w:rPr>
                <w:sz w:val="20"/>
                <w:szCs w:val="20"/>
              </w:rPr>
              <w:t>Energy crisis involving the cost and reliability of electricity.</w:t>
            </w:r>
            <w:r>
              <w:rPr>
                <w:sz w:val="20"/>
              </w:rPr>
              <w:t xml:space="preserve"> </w:t>
            </w:r>
          </w:p>
        </w:tc>
      </w:tr>
      <w:tr>
        <w:trPr/>
        <w:tc>
          <w:tcPr>
            <w:tcW w:w="518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numPr>
                <w:ilvl w:val="0"/>
                <w:numId w:val="3"/>
              </w:numPr>
              <w:spacing w:before="100" w:after="100"/>
              <w:rPr>
                <w:rFonts w:eastAsia="Arial Unicode MS"/>
                <w:color w:val="000000"/>
                <w:sz w:val="20"/>
              </w:rPr>
            </w:pPr>
            <w:r>
              <w:rPr>
                <w:sz w:val="20"/>
                <w:szCs w:val="20"/>
              </w:rPr>
              <w:t>High costs in other areas, including natural gas, rents, and gasoline.</w:t>
            </w:r>
            <w:r>
              <w:rPr>
                <w:sz w:val="20"/>
              </w:rPr>
              <w:t xml:space="preserve"> </w:t>
            </w:r>
          </w:p>
        </w:tc>
      </w:tr>
    </w:tbl>
    <w:p>
      <w:pPr>
        <w:pStyle w:val="Heading4"/>
        <w:ind w:hanging="0" w:start="0"/>
        <w:rPr/>
      </w:pPr>
      <w:r>
        <w:rPr>
          <w:rStyle w:val="Strong"/>
          <w:rFonts w:cs="Times New Roman" w:ascii="Times New Roman" w:hAnsi="Times New Roman"/>
          <w:b w:val="false"/>
          <w:bCs w:val="false"/>
          <w:sz w:val="20"/>
        </w:rPr>
        <w:t>However, 2001 Will Be a Much Tougher Year</w:t>
      </w:r>
      <w:r>
        <w:rPr>
          <w:rFonts w:cs="Times New Roman" w:ascii="Times New Roman" w:hAnsi="Times New Roman"/>
          <w:sz w:val="20"/>
        </w:rPr>
        <w:t xml:space="preserve"> </w:t>
      </w:r>
    </w:p>
    <w:p>
      <w:pPr>
        <w:pStyle w:val="NormalWeb"/>
        <w:spacing w:before="0" w:after="0"/>
        <w:rPr>
          <w:rFonts w:ascii="Times New Roman" w:hAnsi="Times New Roman" w:cs="Times New Roman"/>
          <w:sz w:val="20"/>
        </w:rPr>
      </w:pPr>
      <w:r>
        <w:rPr>
          <w:rFonts w:cs="Times New Roman" w:ascii="Times New Roman" w:hAnsi="Times New Roman"/>
          <w:sz w:val="20"/>
        </w:rPr>
        <w:t>While the state largely escaped the national slowdown in 2000, it faces major challenges as the new year unfolds. In addition to its well-publicized electricity crisis, California is confronted with a sharp slowdown in national spending on computers and other IT goods, a major decline in the stock market values of many of its major technology companies, and sharply rising living costs (which are beginning to limit the amount of discretionary income available to its households).</w:t>
      </w:r>
    </w:p>
    <w:p>
      <w:pPr>
        <w:pStyle w:val="NormalWeb"/>
        <w:spacing w:before="0" w:after="0"/>
        <w:rPr>
          <w:rFonts w:ascii="Times New Roman" w:hAnsi="Times New Roman" w:cs="Times New Roman"/>
          <w:sz w:val="20"/>
        </w:rPr>
      </w:pPr>
      <w:r>
        <w:rPr>
          <w:rFonts w:cs="Times New Roman" w:ascii="Times New Roman" w:hAnsi="Times New Roman"/>
          <w:sz w:val="20"/>
        </w:rPr>
        <w:t>So far, the signs of a slowdown in the state have been limited to mostly anecdotal information--such as reports of softening rental markets and postponed business expansion plans. However, the multitude of negative forces that has emerged in recent months strongly suggests that slower growth lies ahead.</w:t>
      </w:r>
    </w:p>
    <w:p>
      <w:pPr>
        <w:pStyle w:val="Heading4"/>
        <w:ind w:hanging="0" w:start="0"/>
        <w:rPr/>
      </w:pPr>
      <w:r>
        <w:rPr>
          <w:rStyle w:val="Strong"/>
          <w:rFonts w:cs="Times New Roman" w:ascii="Times New Roman" w:hAnsi="Times New Roman"/>
          <w:b w:val="false"/>
          <w:bCs w:val="false"/>
          <w:sz w:val="20"/>
        </w:rPr>
        <w:t>Power Crisis Is Key "Wild Card" in Outlook</w:t>
      </w:r>
      <w:r>
        <w:rPr>
          <w:rFonts w:cs="Times New Roman" w:ascii="Times New Roman" w:hAnsi="Times New Roman"/>
          <w:sz w:val="20"/>
        </w:rPr>
        <w:t xml:space="preserve"> </w:t>
      </w:r>
    </w:p>
    <w:p>
      <w:pPr>
        <w:pStyle w:val="NormalWeb"/>
        <w:spacing w:before="0" w:after="0"/>
        <w:rPr/>
      </w:pPr>
      <w:r>
        <w:rPr/>
        <w:t>The most pressing challenge currently facing the state relates to its electricity crisis, especially in light of the multiplicity of ways that energy affects the economy and ultimately the state's finances (see shaded box). The combination of sharply rising electricity demands throughout the western region of the nation, lagging investment in new generation capacity, and soaring wholesale market prices has dramatically increased the costs of energy purchased by California's utilities. Under the terms of the state's energy restructuring measure enacted in 1996, two of the state's three privately owned utilities--Pacific Gas and Electric (PG&amp;E) and Southern California Edison--have been prohibited from passing most of their higher wholesale electricity costs forward to their customers. This has required them to absorb huge operating losses and has put them close to financial insolvency.</w:t>
      </w:r>
    </w:p>
    <w:tbl>
      <w:tblPr>
        <w:tblW w:w="4000" w:type="pct"/>
        <w:jc w:val="center"/>
        <w:tblInd w:w="0" w:type="dxa"/>
        <w:tblLayout w:type="fixed"/>
        <w:tblCellMar>
          <w:top w:w="15" w:type="dxa"/>
          <w:start w:w="15" w:type="dxa"/>
          <w:bottom w:w="15" w:type="dxa"/>
          <w:end w:w="15" w:type="dxa"/>
        </w:tblCellMar>
      </w:tblPr>
      <w:tblGrid>
        <w:gridCol w:w="6912"/>
      </w:tblGrid>
      <w:tr>
        <w:trPr/>
        <w:tc>
          <w:tcPr>
            <w:tcW w:w="6912" w:type="dxa"/>
            <w:tcBorders>
              <w:top w:val="thickThinLargeGap" w:sz="6" w:space="0" w:color="808080"/>
              <w:start w:val="thickThinLargeGap" w:sz="6" w:space="0" w:color="808080"/>
              <w:bottom w:val="thickThinLargeGap" w:sz="6" w:space="0" w:color="808080"/>
              <w:end w:val="thickThinLargeGap" w:sz="6" w:space="0" w:color="808080"/>
            </w:tcBorders>
            <w:shd w:fill="C0C0C0" w:val="clear"/>
          </w:tcPr>
          <w:p>
            <w:pPr>
              <w:pStyle w:val="Heading3"/>
              <w:spacing w:before="100" w:after="100"/>
              <w:ind w:hanging="0" w:start="0"/>
              <w:rPr>
                <w:rFonts w:ascii="Times New Roman" w:hAnsi="Times New Roman" w:cs="Times New Roman"/>
                <w:sz w:val="20"/>
              </w:rPr>
            </w:pPr>
            <w:r>
              <w:rPr>
                <w:rStyle w:val="Strong"/>
                <w:rFonts w:cs="Times New Roman" w:ascii="Times New Roman" w:hAnsi="Times New Roman"/>
                <w:b w:val="false"/>
                <w:bCs w:val="false"/>
                <w:sz w:val="20"/>
              </w:rPr>
              <w:t>The Electricity Crisis and the Economy</w:t>
            </w:r>
          </w:p>
          <w:p>
            <w:pPr>
              <w:pStyle w:val="NormalWeb"/>
              <w:spacing w:before="0" w:after="0"/>
              <w:rPr>
                <w:rFonts w:ascii="Times New Roman" w:hAnsi="Times New Roman" w:cs="Times New Roman"/>
                <w:sz w:val="20"/>
              </w:rPr>
            </w:pPr>
            <w:r>
              <w:rPr>
                <w:rFonts w:cs="Times New Roman" w:ascii="Times New Roman" w:hAnsi="Times New Roman"/>
                <w:sz w:val="20"/>
                <w:szCs w:val="20"/>
              </w:rPr>
              <w:t>Few commodities are as basic as electricity to the underlying health and ongoing growth of California's economy. California is a relatively efficient user of energy products, and its per-capita usage of electricity has been relatively low compared to other states. Nonetheless, electricity is required by essentially every element of the state's economywhether it be its high-tech computer and information technology industries, basic manufacturing activities, banking and financial sector, agricultural industries, or the retail trade sector. Given this, developments affecting the supply and price of electricity are important to the state's economy both in the near term and longer term.</w:t>
            </w:r>
          </w:p>
          <w:p>
            <w:pPr>
              <w:pStyle w:val="NormalWeb"/>
              <w:spacing w:before="0" w:after="0"/>
              <w:rPr>
                <w:rFonts w:ascii="Times New Roman" w:hAnsi="Times New Roman" w:cs="Times New Roman"/>
                <w:sz w:val="20"/>
              </w:rPr>
            </w:pPr>
            <w:r>
              <w:rPr>
                <w:rStyle w:val="Strong"/>
                <w:rFonts w:cs="Times New Roman" w:ascii="Times New Roman" w:hAnsi="Times New Roman"/>
                <w:sz w:val="20"/>
              </w:rPr>
              <w:t>The Situation to Date</w:t>
            </w:r>
          </w:p>
          <w:p>
            <w:pPr>
              <w:pStyle w:val="NormalWeb"/>
              <w:spacing w:before="0" w:after="0"/>
              <w:rPr>
                <w:rFonts w:ascii="Times New Roman" w:hAnsi="Times New Roman" w:cs="Times New Roman"/>
                <w:sz w:val="20"/>
              </w:rPr>
            </w:pPr>
            <w:r>
              <w:rPr>
                <w:rStyle w:val="Emphasis"/>
                <w:rFonts w:cs="Times New Roman" w:ascii="Times New Roman" w:hAnsi="Times New Roman"/>
                <w:b/>
                <w:bCs/>
                <w:sz w:val="20"/>
                <w:szCs w:val="20"/>
              </w:rPr>
              <w:t xml:space="preserve">Economy Has Been Somewhat Shielded. </w:t>
            </w:r>
            <w:r>
              <w:rPr>
                <w:rFonts w:cs="Times New Roman" w:ascii="Times New Roman" w:hAnsi="Times New Roman"/>
                <w:sz w:val="20"/>
                <w:szCs w:val="20"/>
              </w:rPr>
              <w:t>Thus far, the crisis has primarily affected the state's two largest investor-owned utilities, which have incurred major financial losses from purchasing power at wholesale market prices many times what they are permitted to charge their customers under the terms of the 1996 electricity deregulation law. In contrast, the state's economy at large has been shielded from the majority of the price increases. However, it has been adversely affected by power supply disruptions associated with rotating blackouts and repeated supply curtailments (the latter being for industrial users that had signed interruptible contracts for reduced power rates). Estimates of economic losses to the economy from these price and power disruptions vary, but by some accounts exceed $1 billion. Also, in early January 2001, the California Public Utilities Commission approved temporary rate increases averaging about 10 percent, whose effects have yet to be felt.</w:t>
            </w:r>
          </w:p>
          <w:p>
            <w:pPr>
              <w:pStyle w:val="NormalWeb"/>
              <w:spacing w:before="0" w:after="0"/>
              <w:rPr>
                <w:rFonts w:ascii="Times New Roman" w:hAnsi="Times New Roman" w:cs="Times New Roman"/>
                <w:sz w:val="20"/>
              </w:rPr>
            </w:pPr>
            <w:r>
              <w:rPr>
                <w:rStyle w:val="Emphasis"/>
                <w:rFonts w:cs="Times New Roman" w:ascii="Times New Roman" w:hAnsi="Times New Roman"/>
                <w:b/>
                <w:bCs/>
                <w:sz w:val="20"/>
                <w:szCs w:val="20"/>
              </w:rPr>
              <w:t xml:space="preserve">Future Problems Are Likely. </w:t>
            </w:r>
            <w:r>
              <w:rPr>
                <w:rFonts w:cs="Times New Roman" w:ascii="Times New Roman" w:hAnsi="Times New Roman"/>
                <w:sz w:val="20"/>
                <w:szCs w:val="20"/>
              </w:rPr>
              <w:t>The Legislature and Governor have already taken important steps to address short-term price and availability issues--including passage of Chapter 4x, Statutes of 2001 (AB 1x, Keeley), which facilitates the purchase of electricity by the state through the use of bonds (see "Part I"). The state is also currently negotiating fixed-price contracts and considering various conservation and energy supply initiatives. Even with these actions, the state faces the likelihood of higher electricity prices in the future and the possibility of further supply disruptions this summer.</w:t>
            </w:r>
          </w:p>
          <w:p>
            <w:pPr>
              <w:pStyle w:val="NormalWeb"/>
              <w:spacing w:before="0" w:after="0"/>
              <w:rPr>
                <w:rFonts w:ascii="Times New Roman" w:hAnsi="Times New Roman" w:cs="Times New Roman"/>
                <w:sz w:val="20"/>
              </w:rPr>
            </w:pPr>
            <w:r>
              <w:rPr>
                <w:rStyle w:val="Strong"/>
                <w:rFonts w:cs="Times New Roman" w:ascii="Times New Roman" w:hAnsi="Times New Roman"/>
                <w:sz w:val="20"/>
              </w:rPr>
              <w:t>Potential Future Impacts</w:t>
            </w:r>
          </w:p>
          <w:p>
            <w:pPr>
              <w:pStyle w:val="NormalWeb"/>
              <w:spacing w:before="0" w:after="0"/>
              <w:rPr>
                <w:rFonts w:ascii="Times New Roman" w:hAnsi="Times New Roman" w:cs="Times New Roman"/>
                <w:sz w:val="20"/>
              </w:rPr>
            </w:pPr>
            <w:r>
              <w:rPr>
                <w:rStyle w:val="Emphasis"/>
                <w:rFonts w:cs="Times New Roman" w:ascii="Times New Roman" w:hAnsi="Times New Roman"/>
                <w:b/>
                <w:bCs/>
                <w:sz w:val="20"/>
                <w:szCs w:val="20"/>
              </w:rPr>
              <w:t>Higher Electricity Prices.</w:t>
            </w:r>
            <w:r>
              <w:rPr>
                <w:rFonts w:cs="Times New Roman" w:ascii="Times New Roman" w:hAnsi="Times New Roman"/>
                <w:sz w:val="20"/>
                <w:szCs w:val="20"/>
              </w:rPr>
              <w:t xml:space="preserve"> As an illustration of potential future price-increase effects of the crisis, consider that the total value of electricity consumed in California during 1999 was about $25 billion, with roughly one-third of that amount attributable to households and roughly two-thirds attributable to businesses, governments, and other entities. On average, spending on electricity accounted for 2 percent to 3 percent of both business production costs and average household budgets.</w:t>
            </w:r>
          </w:p>
          <w:p>
            <w:pPr>
              <w:pStyle w:val="NormalWeb"/>
              <w:spacing w:before="0" w:after="0"/>
              <w:rPr>
                <w:rFonts w:ascii="Times New Roman" w:hAnsi="Times New Roman" w:cs="Times New Roman"/>
                <w:sz w:val="20"/>
              </w:rPr>
            </w:pPr>
            <w:r>
              <w:rPr>
                <w:rFonts w:cs="Times New Roman" w:ascii="Times New Roman" w:hAnsi="Times New Roman"/>
                <w:sz w:val="20"/>
                <w:szCs w:val="20"/>
              </w:rPr>
              <w:t>If the wholesale electricity prices in effect during the past two months were "passed forward" so as to be reflected in utility rates, the total annual California electricity bill would be over $40 billion this year. This increase would represent a $15 billion transfer of wealth from California households, businesses, and government to electricity generators and their suppliers. A transfer of this size would have a significant impact on the amount of discretionary income available for household spending on other goods and services in the economy. It would also depress corporate profits growth, which could in turn lead to higher product prices and potentially fewer business expansions. These effects would vary from industry to industry.</w:t>
            </w:r>
          </w:p>
          <w:p>
            <w:pPr>
              <w:pStyle w:val="NormalWeb"/>
              <w:spacing w:before="0" w:after="0"/>
              <w:rPr>
                <w:rFonts w:ascii="Times New Roman" w:hAnsi="Times New Roman" w:cs="Times New Roman"/>
                <w:sz w:val="20"/>
              </w:rPr>
            </w:pPr>
            <w:r>
              <w:rPr>
                <w:rFonts w:cs="Times New Roman" w:ascii="Times New Roman" w:hAnsi="Times New Roman"/>
                <w:sz w:val="20"/>
                <w:szCs w:val="20"/>
              </w:rPr>
              <w:t>Given the financing mechanism put in place by AB 1x, actual near-term rate increases are likely to be considerably less than what would be necessary to cover current wholesale prices. Long-term contracts should also bring down electricity prices in the near term. Rate increases could reduce statewide economic growth over the next two yearsbut would likely not, by themselves, derail the economic expansion. Nor would we expect somewhat higher electricity prices to result in a significant exodus of California businesses to other states, partly because of the fact that rising energy prices are currently a problem throughout the western region of the nation.</w:t>
            </w:r>
          </w:p>
          <w:p>
            <w:pPr>
              <w:pStyle w:val="NormalWeb"/>
              <w:spacing w:before="0" w:after="0"/>
              <w:rPr>
                <w:rFonts w:ascii="Times New Roman" w:hAnsi="Times New Roman" w:cs="Times New Roman"/>
                <w:sz w:val="20"/>
              </w:rPr>
            </w:pPr>
            <w:r>
              <w:rPr>
                <w:rStyle w:val="Emphasis"/>
                <w:rFonts w:cs="Times New Roman" w:ascii="Times New Roman" w:hAnsi="Times New Roman"/>
                <w:b/>
                <w:bCs/>
                <w:sz w:val="20"/>
                <w:szCs w:val="20"/>
              </w:rPr>
              <w:t xml:space="preserve">Electricity Supply Disruptions. </w:t>
            </w:r>
            <w:r>
              <w:rPr>
                <w:rFonts w:cs="Times New Roman" w:ascii="Times New Roman" w:hAnsi="Times New Roman"/>
                <w:sz w:val="20"/>
                <w:szCs w:val="20"/>
              </w:rPr>
              <w:t>In terms of their impacts on the economy, a bigger concern than electricity price increases is the prospect of chronic supply shortfalls. Surveys reveal that the disruptions that have already occurred have had significant impacts on the sales, production, and profits of the businesses affected. Uncertainty about the state's electricity reliability is already a leading concern among businesses and chronic disruptions could materially affect business location decisions and expansion plans over the next year. Thus, a significant risk to the economy from supply problems remains.</w:t>
            </w:r>
          </w:p>
        </w:tc>
      </w:tr>
    </w:tbl>
    <w:p>
      <w:pPr>
        <w:pStyle w:val="NormalWeb"/>
        <w:spacing w:before="0" w:after="0"/>
        <w:rPr/>
      </w:pPr>
      <w:r>
        <w:rPr>
          <w:rStyle w:val="Emphasis"/>
          <w:rFonts w:cs="Times New Roman" w:ascii="Times New Roman" w:hAnsi="Times New Roman"/>
          <w:b/>
          <w:bCs/>
          <w:sz w:val="20"/>
        </w:rPr>
        <w:t xml:space="preserve">The Situation as of Early February. </w:t>
      </w:r>
      <w:r>
        <w:rPr>
          <w:rFonts w:cs="Times New Roman" w:ascii="Times New Roman" w:hAnsi="Times New Roman"/>
          <w:sz w:val="20"/>
        </w:rPr>
        <w:t>On February 1, the Governor signed AB 1x (Keeley), which authorizes the state Department of Water Resources (DWR) to enter into long-term power contracts with electricity suppliers and resell the electricity to consumers in California. In addition, the measure authorizes DWR to issue revenue bonds to cover, in the near term, the difference between its electricity acquisition costs and the amount paid by ratepayers. The measure also permits the California Public Utility Commission (CPUC) to set electricity rates to cover the revenue requirements of DWR's power purchasing program, although current "baseline" rates would be protected.</w:t>
      </w:r>
    </w:p>
    <w:p>
      <w:pPr>
        <w:pStyle w:val="NormalWeb"/>
        <w:spacing w:before="0" w:after="0"/>
        <w:rPr>
          <w:rFonts w:ascii="Times New Roman" w:hAnsi="Times New Roman" w:cs="Times New Roman"/>
          <w:sz w:val="20"/>
        </w:rPr>
      </w:pPr>
      <w:r>
        <w:rPr>
          <w:rFonts w:cs="Times New Roman" w:ascii="Times New Roman" w:hAnsi="Times New Roman"/>
          <w:sz w:val="20"/>
        </w:rPr>
        <w:t>As this analysis is going to press, the state was negotiating fixed-rate contracts with energy suppliers. The Governor and Legislature were also negotiating an agreement aimed at assisting California's investor-owned utilities in regaining financial stability and the Governor had implemented emergency electricity orders aimed at conserving commercial electricity use.</w:t>
      </w:r>
    </w:p>
    <w:p>
      <w:pPr>
        <w:pStyle w:val="NormalWeb"/>
        <w:spacing w:before="0" w:after="0"/>
        <w:rPr/>
      </w:pPr>
      <w:r>
        <w:rPr>
          <w:rFonts w:cs="Times New Roman" w:ascii="Times New Roman" w:hAnsi="Times New Roman"/>
          <w:sz w:val="20"/>
        </w:rPr>
        <w:t xml:space="preserve">These are crucial steps toward the resolution of the state's </w:t>
      </w:r>
      <w:r>
        <w:rPr>
          <w:rStyle w:val="Emphasis"/>
          <w:rFonts w:cs="Times New Roman" w:ascii="Times New Roman" w:hAnsi="Times New Roman"/>
          <w:sz w:val="20"/>
        </w:rPr>
        <w:t>immediate</w:t>
      </w:r>
      <w:r>
        <w:rPr>
          <w:rFonts w:cs="Times New Roman" w:ascii="Times New Roman" w:hAnsi="Times New Roman"/>
          <w:sz w:val="20"/>
        </w:rPr>
        <w:t xml:space="preserve"> electrical crisis. However, given the current supply-demand characteristics of the state's energy market, this summer will be when the greatest challenges will be faced</w:t>
      </w:r>
      <w:r>
        <w:rPr>
          <w:rStyle w:val="Emphasis"/>
          <w:rFonts w:cs="Times New Roman" w:ascii="Times New Roman" w:hAnsi="Times New Roman"/>
          <w:sz w:val="20"/>
        </w:rPr>
        <w:t>--even under the best of circumstances</w:t>
      </w:r>
      <w:r>
        <w:rPr>
          <w:rFonts w:cs="Times New Roman" w:ascii="Times New Roman" w:hAnsi="Times New Roman"/>
          <w:sz w:val="20"/>
        </w:rPr>
        <w:t>. Such uncertainties as the level of summertime temperatures, the reliability of certain existing generators, the success of conservation efforts, the speed with which new generation capacity is brought on-line, and the availability of hydroelectric power from northern California and the Pacific Northwest, will all have significant impacts on the availability and price of electricity in California during this period.</w:t>
      </w:r>
    </w:p>
    <w:p>
      <w:pPr>
        <w:pStyle w:val="NormalWeb"/>
        <w:spacing w:before="0" w:after="0"/>
        <w:rPr/>
      </w:pPr>
      <w:r>
        <w:rPr>
          <w:rStyle w:val="Emphasis"/>
          <w:rFonts w:cs="Times New Roman" w:ascii="Times New Roman" w:hAnsi="Times New Roman"/>
          <w:b/>
          <w:bCs/>
          <w:sz w:val="20"/>
        </w:rPr>
        <w:t xml:space="preserve">Outlook Assumes Crisis Will Not Derail Economy. </w:t>
      </w:r>
      <w:r>
        <w:rPr>
          <w:rFonts w:cs="Times New Roman" w:ascii="Times New Roman" w:hAnsi="Times New Roman"/>
          <w:sz w:val="20"/>
        </w:rPr>
        <w:t>Given recent progress by the administration and Legislature in developing solutions to the crisis, our forecast assumes that the state will make it through this summer without substantial electricity-related disruptions to the economy but that consumers and businesses will face higher prices.</w:t>
      </w:r>
    </w:p>
    <w:p>
      <w:pPr>
        <w:pStyle w:val="Normal"/>
        <w:rPr>
          <w:rFonts w:ascii="Times New Roman" w:hAnsi="Times New Roman" w:cs="Times New Roman"/>
          <w:sz w:val="20"/>
        </w:rPr>
      </w:pPr>
      <w:r>
        <w:rPr>
          <w:rFonts w:cs="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100" w:after="100"/>
      <w:outlineLvl w:val="1"/>
    </w:pPr>
    <w:rPr>
      <w:rFonts w:ascii="Arial Unicode MS" w:hAnsi="Arial Unicode MS" w:eastAsia="Arial Unicode MS" w:cs="Arial Unicode MS"/>
      <w:b/>
      <w:bCs/>
      <w:color w:val="000000"/>
      <w:sz w:val="36"/>
      <w:szCs w:val="36"/>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color w:val="000000"/>
      <w:sz w:val="27"/>
      <w:szCs w:val="27"/>
    </w:rPr>
  </w:style>
  <w:style w:type="paragraph" w:styleId="Heading4">
    <w:name w:val="heading 4"/>
    <w:basedOn w:val="Normal"/>
    <w:next w:val="BodyText"/>
    <w:qFormat/>
    <w:pPr>
      <w:numPr>
        <w:ilvl w:val="3"/>
        <w:numId w:val="1"/>
      </w:numPr>
      <w:spacing w:before="100" w:after="100"/>
      <w:outlineLvl w:val="3"/>
    </w:pPr>
    <w:rPr>
      <w:rFonts w:ascii="Arial Unicode MS" w:hAnsi="Arial Unicode MS" w:eastAsia="Arial Unicode MS" w:cs="Arial Unicode MS"/>
      <w:b/>
      <w:bCs/>
      <w:color w:val="00000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DefaultParagraphFont">
    <w:name w:val="Default Paragraph 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2001-02-22T16:00:00Z</dcterms:created>
  <dc:creator>jdasovic</dc:creator>
  <dc:description/>
  <dc:language>en-CA</dc:language>
  <cp:lastModifiedBy>jdasovic</cp:lastModifiedBy>
  <dcterms:modified xsi:type="dcterms:W3CDTF">2001-02-22T17:02:00Z</dcterms:modified>
  <cp:revision>1</cp:revision>
  <dc:subject/>
  <dc:title>This year, the Legislature and Governor face the dual challenge of both (1) crafting a budget that addresses the programmatic </dc:title>
</cp:coreProperties>
</file>