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widowControl w:val="false"/>
        <w:ind w:hanging="0" w:start="0"/>
        <w:jc w:val="end"/>
        <w:rPr/>
      </w:pPr>
      <w:r>
        <w:rPr/>
        <w:t>ATTORNEY CLIENT PRIVILEGED COMMUNICATION</w:t>
      </w:r>
    </w:p>
    <w:p>
      <w:pPr>
        <w:pStyle w:val="Heading1"/>
        <w:keepNext w:val="false"/>
        <w:widowControl w:val="false"/>
        <w:ind w:hanging="0" w:start="0"/>
        <w:jc w:val="end"/>
        <w:rPr/>
      </w:pPr>
      <w:r>
        <w:rPr/>
        <w:t>ATTORNEY WORK PRODUCT</w:t>
      </w:r>
    </w:p>
    <w:p>
      <w:pPr>
        <w:pStyle w:val="Heading2"/>
        <w:keepNext w:val="false"/>
        <w:widowControl w:val="false"/>
        <w:ind w:hanging="0" w:start="0"/>
        <w:rPr/>
      </w:pPr>
      <w:r>
        <w:rPr/>
        <w:t>DECEMBER 6, 2000</w:t>
      </w:r>
    </w:p>
    <w:p>
      <w:pPr>
        <w:pStyle w:val="Heading1"/>
        <w:keepNext w:val="false"/>
        <w:widowControl w:val="false"/>
        <w:ind w:hanging="0" w:start="0"/>
        <w:rPr>
          <w:b w:val="false"/>
        </w:rPr>
      </w:pPr>
      <w:r>
        <w:rPr/>
        <w:t>CALIFORNIA NATURAL GAS/POWER PRICES:  EES RETAIL RISKS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/>
      </w:pPr>
      <w:r>
        <w:rPr>
          <w:b/>
          <w:u w:val="single"/>
        </w:rPr>
        <w:t>BASIC FACTS</w:t>
      </w:r>
      <w:r>
        <w:rPr>
          <w:b/>
        </w:rPr>
        <w:t>:</w:t>
      </w:r>
    </w:p>
    <w:p>
      <w:pPr>
        <w:pStyle w:val="Normal"/>
        <w:widowControl w:val="false"/>
        <w:numPr>
          <w:ilvl w:val="0"/>
          <w:numId w:val="7"/>
        </w:numPr>
        <w:jc w:val="both"/>
        <w:rPr>
          <w:b/>
        </w:rPr>
      </w:pPr>
      <w:r>
        <w:rPr/>
        <w:t>Rising gas and power prices in CA wholesale markets may result in supply curtailments, including by EES’ suppliers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>Retail delivery points at utility interconnect/citygate</w:t>
      </w:r>
    </w:p>
    <w:p>
      <w:pPr>
        <w:pStyle w:val="Normal"/>
        <w:widowControl w:val="false"/>
        <w:numPr>
          <w:ilvl w:val="0"/>
          <w:numId w:val="7"/>
        </w:numPr>
        <w:jc w:val="both"/>
        <w:rPr>
          <w:b/>
        </w:rPr>
      </w:pPr>
      <w:r>
        <w:rPr/>
        <w:t>OFO’s/curtailment orders: retail contracts generally state that customer must comply or customer pays utility penalty rate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>Force majeure:  transporter or utility force majeure can be EES force majeure under retail contracts</w:t>
      </w:r>
    </w:p>
    <w:p>
      <w:pPr>
        <w:pStyle w:val="Normal"/>
        <w:widowControl w:val="false"/>
        <w:numPr>
          <w:ilvl w:val="0"/>
          <w:numId w:val="5"/>
        </w:numPr>
        <w:jc w:val="both"/>
        <w:rPr>
          <w:b/>
        </w:rPr>
      </w:pPr>
      <w:r>
        <w:rPr/>
        <w:t>EES retail customers are generally receiving a fixed price or discount to tariff—insulated from rising wholesale prices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/>
      </w:pPr>
      <w:r>
        <w:rPr>
          <w:b/>
          <w:u w:val="single"/>
        </w:rPr>
        <w:t>PRIMARY ISSUES</w:t>
      </w:r>
      <w:r>
        <w:rPr>
          <w:b/>
        </w:rPr>
        <w:t>:</w:t>
      </w:r>
    </w:p>
    <w:p>
      <w:pPr>
        <w:pStyle w:val="Normal"/>
        <w:widowControl w:val="false"/>
        <w:numPr>
          <w:ilvl w:val="0"/>
          <w:numId w:val="2"/>
        </w:numPr>
        <w:jc w:val="both"/>
        <w:rPr/>
      </w:pPr>
      <w:r>
        <w:rPr>
          <w:u w:val="single"/>
        </w:rPr>
        <w:t>Purchase Side</w:t>
      </w:r>
      <w:r>
        <w:rPr/>
        <w:t>:  Events under which a supplier can claim force majeure or otherwise curtail EES (esp. system constraint), and effect on EES’ obligations under retail contracts</w:t>
      </w:r>
    </w:p>
    <w:p>
      <w:pPr>
        <w:pStyle w:val="Normal"/>
        <w:widowControl w:val="false"/>
        <w:numPr>
          <w:ilvl w:val="0"/>
          <w:numId w:val="3"/>
        </w:numPr>
        <w:jc w:val="both"/>
        <w:rPr/>
      </w:pPr>
      <w:r>
        <w:rPr>
          <w:u w:val="single"/>
        </w:rPr>
        <w:t>Retail Sale Side</w:t>
      </w:r>
      <w:r>
        <w:rPr/>
        <w:t>:  Effect of utility OFO/curtailment order on EES’ obligations under customer contracts, including related utility rights</w:t>
      </w:r>
    </w:p>
    <w:p>
      <w:pPr>
        <w:pStyle w:val="Normal"/>
        <w:widowControl w:val="false"/>
        <w:numPr>
          <w:ilvl w:val="0"/>
          <w:numId w:val="8"/>
        </w:numPr>
        <w:jc w:val="both"/>
        <w:rPr/>
      </w:pPr>
      <w:r>
        <w:rPr>
          <w:u w:val="single"/>
        </w:rPr>
        <w:t>General</w:t>
      </w:r>
      <w:r>
        <w:rPr/>
        <w:t>: is breach cheaper than performance?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DETAIL</w:t>
      </w:r>
      <w:r>
        <w:rPr>
          <w:u w:val="none"/>
        </w:rPr>
        <w:t>: (ISSUE LEAD)</w:t>
      </w:r>
    </w:p>
    <w:p>
      <w:pPr>
        <w:pStyle w:val="Normal"/>
        <w:widowControl w:val="false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/>
      </w:pPr>
      <w:r>
        <w:rPr>
          <w:b/>
          <w:u w:val="single"/>
        </w:rPr>
        <w:t>Purchase Contracts—Force Majeure and Curtailment Rights of Sellers to EES Under the Following</w:t>
      </w:r>
      <w:r>
        <w:rPr>
          <w:b/>
        </w:rPr>
        <w:t>:  (EES LEGAL)</w:t>
      </w:r>
    </w:p>
    <w:p>
      <w:pPr>
        <w:pStyle w:val="Normal"/>
        <w:widowControl w:val="false"/>
        <w:numPr>
          <w:ilvl w:val="0"/>
          <w:numId w:val="6"/>
        </w:numPr>
        <w:rPr/>
      </w:pPr>
      <w:r>
        <w:rPr/>
        <w:t>ENA—Master Buy/Sell; what % of purchases are from ENA/EPMI?  Is delivery generally at utility, or elsewhere?</w:t>
      </w:r>
    </w:p>
    <w:p>
      <w:pPr>
        <w:pStyle w:val="Normal"/>
        <w:widowControl w:val="false"/>
        <w:numPr>
          <w:ilvl w:val="0"/>
          <w:numId w:val="6"/>
        </w:numPr>
        <w:rPr/>
      </w:pPr>
      <w:r>
        <w:rPr/>
        <w:t>Other non-utility third parties (e.g. Duke natural gas master).  Delivery points?</w:t>
      </w:r>
    </w:p>
    <w:p>
      <w:pPr>
        <w:pStyle w:val="Normal"/>
        <w:widowControl w:val="false"/>
        <w:numPr>
          <w:ilvl w:val="0"/>
          <w:numId w:val="6"/>
        </w:numPr>
        <w:rPr/>
      </w:pPr>
      <w:r>
        <w:rPr/>
        <w:t>Utilities—citygate gas purchases</w:t>
      </w:r>
    </w:p>
    <w:p>
      <w:pPr>
        <w:pStyle w:val="Normal"/>
        <w:widowControl w:val="false"/>
        <w:numPr>
          <w:ilvl w:val="0"/>
          <w:numId w:val="6"/>
        </w:numPr>
        <w:rPr/>
      </w:pPr>
      <w:r>
        <w:rPr/>
        <w:t>Appalachian wellhead purchases</w:t>
      </w:r>
    </w:p>
    <w:p>
      <w:pPr>
        <w:pStyle w:val="Normal"/>
        <w:widowControl w:val="false"/>
        <w:numPr>
          <w:ilvl w:val="0"/>
          <w:numId w:val="6"/>
        </w:numPr>
        <w:rPr/>
      </w:pPr>
      <w:r>
        <w:rPr/>
        <w:t>Are there interruptible/reacallable purchase transactions that create exposure (e.g. “price majeure” agreements)?</w:t>
      </w:r>
    </w:p>
    <w:p>
      <w:pPr>
        <w:pStyle w:val="Normal"/>
        <w:widowControl w:val="false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rPr/>
      </w:pPr>
      <w:r>
        <w:rPr>
          <w:b/>
          <w:u w:val="single"/>
        </w:rPr>
        <w:t>Retail Sales Contracts—EES’ Force Majeure and Curtailment Rights</w:t>
      </w:r>
      <w:r>
        <w:rPr>
          <w:b/>
        </w:rPr>
        <w:t>:  (EES LEGAL)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>Can supplier force majeure be a force majeure under retail contract?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>Can supplier/transporter/utility curtailment (non-force majeure) be a force majeure under retail contract?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>Compliance with notice requirements for OFO/curtailment orders; who will receive?</w:t>
      </w:r>
    </w:p>
    <w:p>
      <w:pPr>
        <w:pStyle w:val="Normal"/>
        <w:widowControl w:val="false"/>
        <w:numPr>
          <w:ilvl w:val="0"/>
          <w:numId w:val="4"/>
        </w:numPr>
        <w:jc w:val="both"/>
        <w:rPr/>
      </w:pPr>
      <w:r>
        <w:rPr/>
        <w:t>Are there deal specific provisions (esp. in Commodity Management Agreements/Outsource Agreements) that create different risks (e.g. more restrictive force majeure provisions; “financially firm” commitments)?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>What is the effect of an OFO/curtailment on customer’s minimum consumption requirements?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>Which EES retail customers are likely to be curtailed per utility curtailment priorities?</w:t>
      </w:r>
    </w:p>
    <w:p>
      <w:pPr>
        <w:pStyle w:val="Normal"/>
        <w:widowControl w:val="false"/>
        <w:rPr/>
      </w:pPr>
      <w:r>
        <w:rPr/>
      </w:r>
    </w:p>
    <w:p>
      <w:pPr>
        <w:pStyle w:val="Heading1"/>
        <w:keepNext w:val="false"/>
        <w:widowControl w:val="false"/>
        <w:ind w:hanging="0" w:start="0"/>
        <w:rPr/>
      </w:pPr>
      <w:r>
        <w:rPr>
          <w:u w:val="single"/>
        </w:rPr>
        <w:t>Utility Rights and Obligations</w:t>
      </w:r>
      <w:r>
        <w:rPr/>
        <w:t>:  (REGULATORY)</w:t>
      </w:r>
    </w:p>
    <w:p>
      <w:pPr>
        <w:pStyle w:val="Normal"/>
        <w:widowControl w:val="false"/>
        <w:numPr>
          <w:ilvl w:val="0"/>
          <w:numId w:val="9"/>
        </w:numPr>
        <w:rPr/>
      </w:pPr>
      <w:r>
        <w:rPr/>
        <w:t>Do OFO/curtailment orders excuse EES delivery obligation into utility?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Are we required to deliver only nominated volumes (and when do we nominate)?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Are we somehow required to deliver baselined or estimated volumes under utility operational agreement or tariff?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 xml:space="preserve">Is there anything else preventing EES from reselling curtailed gas/power into market? </w:t>
      </w:r>
    </w:p>
    <w:p>
      <w:pPr>
        <w:pStyle w:val="Normal"/>
        <w:widowControl w:val="false"/>
        <w:numPr>
          <w:ilvl w:val="0"/>
          <w:numId w:val="9"/>
        </w:numPr>
        <w:rPr/>
      </w:pPr>
      <w:r>
        <w:rPr/>
        <w:t>Can utility confiscate/reallocate gas/power?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In conjunction with or independent of an OFO/curtailment order?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Under tariff provisions or operational agreement provisions?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Are the rules different for core and non-core customers?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Does it matter whether we are pool balancing vs. independent balancing?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>
          <w:b/>
          <w:u w:val="single"/>
        </w:rPr>
        <w:t>EES PR Issues</w:t>
      </w:r>
      <w:r>
        <w:rPr>
          <w:b/>
        </w:rPr>
        <w:t>:</w:t>
        <w:tab/>
        <w:t>(PUBLIC RELATIONS)</w:t>
      </w:r>
    </w:p>
    <w:p>
      <w:pPr>
        <w:pStyle w:val="Normal"/>
        <w:widowControl w:val="false"/>
        <w:numPr>
          <w:ilvl w:val="0"/>
          <w:numId w:val="5"/>
        </w:numPr>
        <w:rPr>
          <w:b/>
        </w:rPr>
      </w:pPr>
      <w:r>
        <w:rPr/>
        <w:t>What are customers being told?</w:t>
      </w:r>
    </w:p>
    <w:p>
      <w:pPr>
        <w:pStyle w:val="Normal"/>
        <w:widowControl w:val="false"/>
        <w:numPr>
          <w:ilvl w:val="0"/>
          <w:numId w:val="5"/>
        </w:numPr>
        <w:rPr>
          <w:b/>
        </w:rPr>
      </w:pPr>
      <w:r>
        <w:rPr/>
        <w:t>What is EES story?</w:t>
      </w:r>
    </w:p>
    <w:p>
      <w:pPr>
        <w:pStyle w:val="Normal"/>
        <w:widowControl w:val="false"/>
        <w:numPr>
          <w:ilvl w:val="0"/>
          <w:numId w:val="5"/>
        </w:numPr>
        <w:rPr>
          <w:b/>
        </w:rPr>
      </w:pPr>
      <w:r>
        <w:rPr/>
        <w:t>What is overall Enron story?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/>
      </w:pPr>
      <w:r>
        <w:rPr>
          <w:b/>
          <w:u w:val="single"/>
        </w:rPr>
        <w:t>Other Related Issues</w:t>
      </w:r>
      <w:r>
        <w:rPr>
          <w:b/>
        </w:rPr>
        <w:t>:  (EES LEGAL)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 xml:space="preserve">Utility efforts to obviate frozen tariff—Can we terminate or restructure if successful? </w:t>
      </w:r>
    </w:p>
    <w:p>
      <w:pPr>
        <w:pStyle w:val="Normal"/>
        <w:widowControl w:val="false"/>
        <w:numPr>
          <w:ilvl w:val="0"/>
          <w:numId w:val="4"/>
        </w:numPr>
        <w:rPr/>
      </w:pPr>
      <w:r>
        <w:rPr/>
        <w:t>PG&amp;E negative CTC issue—pending resolution</w:t>
      </w:r>
    </w:p>
    <w:sectPr>
      <w:type w:val="nextPage"/>
      <w:pgSz w:w="12240" w:h="158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outlineLvl w:val="2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2000-12-06T15:39:00Z</dcterms:created>
  <dc:creator>Karen C. Smith</dc:creator>
  <dc:description/>
  <dc:language>en-CA</dc:language>
  <cp:lastModifiedBy>msmith2</cp:lastModifiedBy>
  <cp:lastPrinted>2000-12-06T15:26:00Z</cp:lastPrinted>
  <dcterms:modified xsi:type="dcterms:W3CDTF">2000-12-06T18:58:00Z</dcterms:modified>
  <cp:revision>9</cp:revision>
  <dc:subject/>
  <dc:title>ATTORNEY WORK PRODUCT</dc:title>
</cp:coreProperties>
</file>