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13,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Shell Capital [Company] </w:t>
      </w:r>
      <w:r>
        <w:rPr>
          <w:rFonts w:cs="Times New Roman" w:ascii="Times New Roman" w:hAnsi="Times New Roman"/>
          <w:i/>
          <w:iCs/>
          <w:sz w:val="22"/>
        </w:rPr>
        <w:t>Verify entity name</w:t>
      </w:r>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ECS,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 addressed to ECS,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ECS or (c) information that becomes available to you on a nonconfidential basis from a source other than ECS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ECS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You consent to personal jurisdiction in any action brought in any court, federal or state, within the State of Texas having subject matter jurisdiction arising under this Agreement. ECS shall have the right to apply to a court to enjoin any breach of this Agreement.  Excepting the right of ECS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bCs/>
          <w:sz w:val="22"/>
        </w:rPr>
      </w:pPr>
      <w:r>
        <w:rPr>
          <w:rFonts w:cs="Times New Roman" w:ascii="Times New Roman" w:hAnsi="Times New Roman"/>
          <w:b/>
          <w:bCs/>
          <w:sz w:val="22"/>
        </w:rPr>
        <w:t>SHELL CAPITAL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/mnt/main-storage/datasets/enron-docs/doc/CA_ECS_ShellCapital091301.DOC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Shell Capital Company</w:t>
    </w:r>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2001-09-12T18:51:00Z</dcterms:created>
  <dc:creator>ECT</dc:creator>
  <dc:description/>
  <dc:language>en-CA</dc:language>
  <cp:lastModifiedBy>mogden</cp:lastModifiedBy>
  <cp:lastPrinted>2001-09-12T16:33:00Z</cp:lastPrinted>
  <dcterms:modified xsi:type="dcterms:W3CDTF">2001-09-12T19:03:00Z</dcterms:modified>
  <cp:revision>5</cp:revision>
  <dc:subject/>
  <dc:title>Long Form Confidentiality Agreement</dc:title>
</cp:coreProperties>
</file>