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xBrc1"/>
        <w:tabs>
          <w:tab w:val="clear" w:pos="720"/>
          <w:tab w:val="center" w:pos="4161" w:leader="none"/>
        </w:tabs>
        <w:spacing w:lineRule="auto" w:line="240"/>
        <w:rPr>
          <w:b/>
          <w:sz w:val="24"/>
        </w:rPr>
      </w:pPr>
      <w:r>
        <w:rPr>
          <w:b/>
          <w:sz w:val="24"/>
        </w:rPr>
        <w:t>BEFORE THE PUBLIC UTILITIES COMMISSION</w:t>
      </w:r>
    </w:p>
    <w:p>
      <w:pPr>
        <w:pStyle w:val="TxBrc1"/>
        <w:tabs>
          <w:tab w:val="clear" w:pos="720"/>
          <w:tab w:val="center" w:pos="4161" w:leader="none"/>
        </w:tabs>
        <w:spacing w:lineRule="auto" w:line="240"/>
        <w:rPr>
          <w:b/>
          <w:sz w:val="24"/>
        </w:rPr>
      </w:pPr>
      <w:r>
        <w:rPr>
          <w:b/>
          <w:sz w:val="24"/>
        </w:rPr>
        <w:t>OF THE STATE OF CALIFORNIA</w:t>
      </w:r>
    </w:p>
    <w:p>
      <w:pPr>
        <w:pStyle w:val="Normal"/>
        <w:tabs>
          <w:tab w:val="clear" w:pos="720"/>
          <w:tab w:val="center" w:pos="4161" w:leader="none"/>
        </w:tabs>
        <w:rPr>
          <w:b/>
          <w:sz w:val="24"/>
        </w:rPr>
      </w:pPr>
      <w:r>
        <w:rPr>
          <w:b/>
          <w:sz w:val="24"/>
        </w:rPr>
      </w:r>
    </w:p>
    <w:p>
      <w:pPr>
        <w:pStyle w:val="Normal"/>
        <w:tabs>
          <w:tab w:val="clear" w:pos="720"/>
          <w:tab w:val="center" w:pos="4161" w:leader="none"/>
        </w:tabs>
        <w:rPr/>
      </w:pPr>
      <w:r>
        <w:rPr/>
      </w:r>
    </w:p>
    <w:p>
      <w:pPr>
        <w:pStyle w:val="Normal"/>
        <w:tabs>
          <w:tab w:val="clear" w:pos="720"/>
          <w:tab w:val="center" w:pos="4161" w:leader="none"/>
        </w:tabs>
        <w:rPr/>
      </w:pPr>
      <w:r>
        <w:rPr/>
      </w:r>
    </w:p>
    <w:p>
      <w:pPr>
        <w:pStyle w:val="FootnoteText"/>
        <w:tabs>
          <w:tab w:val="clear" w:pos="720"/>
          <w:tab w:val="center" w:pos="4161" w:leader="none"/>
        </w:tabs>
        <w:rPr/>
      </w:pPr>
      <w:r>
        <w:rPr/>
      </w:r>
    </w:p>
    <w:p>
      <w:pPr>
        <w:pStyle w:val="Normal"/>
        <w:tabs>
          <w:tab w:val="clear" w:pos="720"/>
          <w:tab w:val="center" w:pos="4161" w:leader="none"/>
        </w:tabs>
        <w:rPr>
          <w:sz w:val="24"/>
        </w:rPr>
      </w:pPr>
      <w:r>
        <w:rPr>
          <w:sz w:val="24"/>
        </w:rPr>
      </w:r>
    </w:p>
    <w:tbl>
      <w:tblPr>
        <w:tblW w:w="9576" w:type="dxa"/>
        <w:jc w:val="start"/>
        <w:tblInd w:w="0" w:type="dxa"/>
        <w:tblLayout w:type="fixed"/>
        <w:tblCellMar>
          <w:top w:w="0" w:type="dxa"/>
          <w:start w:w="108" w:type="dxa"/>
          <w:bottom w:w="0" w:type="dxa"/>
          <w:end w:w="108" w:type="dxa"/>
        </w:tblCellMar>
      </w:tblPr>
      <w:tblGrid>
        <w:gridCol w:w="4608"/>
        <w:gridCol w:w="4968"/>
      </w:tblGrid>
      <w:tr>
        <w:trPr/>
        <w:tc>
          <w:tcPr>
            <w:tcW w:w="4608" w:type="dxa"/>
            <w:tcBorders>
              <w:bottom w:val="single" w:sz="6" w:space="0" w:color="000000"/>
              <w:end w:val="single" w:sz="6" w:space="0" w:color="000000"/>
            </w:tcBorders>
          </w:tcPr>
          <w:p>
            <w:pPr>
              <w:pStyle w:val="Normal"/>
              <w:tabs>
                <w:tab w:val="clear" w:pos="720"/>
                <w:tab w:val="left" w:pos="1440" w:leader="none"/>
              </w:tabs>
              <w:rPr>
                <w:sz w:val="24"/>
              </w:rPr>
            </w:pPr>
            <w:r>
              <w:rPr>
                <w:sz w:val="24"/>
              </w:rPr>
              <w:t>Order Instituting Rulemaking Into Distributed Generation</w:t>
            </w:r>
          </w:p>
          <w:p>
            <w:pPr>
              <w:pStyle w:val="Normal"/>
              <w:tabs>
                <w:tab w:val="clear" w:pos="720"/>
                <w:tab w:val="left" w:pos="1440" w:leader="none"/>
              </w:tabs>
              <w:jc w:val="end"/>
              <w:rPr>
                <w:sz w:val="24"/>
              </w:rPr>
            </w:pPr>
            <w:r>
              <w:rPr>
                <w:sz w:val="24"/>
              </w:rPr>
            </w:r>
          </w:p>
        </w:tc>
        <w:tc>
          <w:tcPr>
            <w:tcW w:w="4968" w:type="dxa"/>
            <w:tcBorders/>
          </w:tcPr>
          <w:p>
            <w:pPr>
              <w:pStyle w:val="Normal"/>
              <w:ind w:start="252" w:end="0"/>
              <w:rPr>
                <w:sz w:val="24"/>
              </w:rPr>
            </w:pPr>
            <w:r>
              <w:rPr>
                <w:sz w:val="24"/>
              </w:rPr>
              <w:t>Rulemaking 99-10-025</w:t>
            </w:r>
          </w:p>
          <w:p>
            <w:pPr>
              <w:pStyle w:val="Normal"/>
              <w:ind w:start="252" w:end="0"/>
              <w:rPr>
                <w:sz w:val="24"/>
              </w:rPr>
            </w:pPr>
            <w:r>
              <w:rPr>
                <w:sz w:val="24"/>
              </w:rPr>
            </w:r>
          </w:p>
          <w:p>
            <w:pPr>
              <w:pStyle w:val="Normal"/>
              <w:ind w:start="252" w:end="0"/>
              <w:rPr>
                <w:sz w:val="24"/>
              </w:rPr>
            </w:pPr>
            <w:r>
              <w:rPr>
                <w:sz w:val="24"/>
              </w:rPr>
            </w:r>
          </w:p>
        </w:tc>
      </w:tr>
    </w:tbl>
    <w:p>
      <w:pPr>
        <w:pStyle w:val="Normal"/>
        <w:tabs>
          <w:tab w:val="clear" w:pos="720"/>
          <w:tab w:val="left" w:pos="204" w:leader="none"/>
        </w:tabs>
        <w:rPr>
          <w:sz w:val="24"/>
        </w:rPr>
      </w:pPr>
      <w:r>
        <w:rPr>
          <w:sz w:val="24"/>
        </w:rPr>
      </w:r>
    </w:p>
    <w:p>
      <w:pPr>
        <w:pStyle w:val="Normal"/>
        <w:tabs>
          <w:tab w:val="clear" w:pos="720"/>
          <w:tab w:val="left" w:pos="204" w:leader="none"/>
        </w:tabs>
        <w:rPr>
          <w:sz w:val="24"/>
        </w:rPr>
      </w:pPr>
      <w:r>
        <w:rPr>
          <w:sz w:val="24"/>
        </w:rPr>
      </w:r>
    </w:p>
    <w:p>
      <w:pPr>
        <w:pStyle w:val="Normal"/>
        <w:tabs>
          <w:tab w:val="clear" w:pos="720"/>
          <w:tab w:val="left" w:pos="204" w:leader="none"/>
        </w:tabs>
        <w:rPr>
          <w:sz w:val="24"/>
        </w:rPr>
      </w:pPr>
      <w:r>
        <w:rPr>
          <w:sz w:val="24"/>
        </w:rPr>
      </w:r>
    </w:p>
    <w:p>
      <w:pPr>
        <w:pStyle w:val="Normal"/>
        <w:tabs>
          <w:tab w:val="clear" w:pos="720"/>
          <w:tab w:val="left" w:pos="204" w:leader="none"/>
        </w:tabs>
        <w:rPr>
          <w:sz w:val="24"/>
        </w:rPr>
      </w:pPr>
      <w:r>
        <w:rPr>
          <w:sz w:val="24"/>
        </w:rPr>
      </w:r>
    </w:p>
    <w:p>
      <w:pPr>
        <w:pStyle w:val="Normal"/>
        <w:tabs>
          <w:tab w:val="clear" w:pos="720"/>
          <w:tab w:val="left" w:pos="204" w:leader="none"/>
        </w:tabs>
        <w:rPr>
          <w:sz w:val="24"/>
        </w:rPr>
      </w:pPr>
      <w:r>
        <w:rPr>
          <w:sz w:val="24"/>
        </w:rPr>
      </w:r>
    </w:p>
    <w:p>
      <w:pPr>
        <w:pStyle w:val="Normal"/>
        <w:tabs>
          <w:tab w:val="clear" w:pos="720"/>
          <w:tab w:val="left" w:pos="204" w:leader="none"/>
        </w:tabs>
        <w:rPr>
          <w:sz w:val="24"/>
        </w:rPr>
      </w:pPr>
      <w:r>
        <w:rPr>
          <w:sz w:val="24"/>
        </w:rPr>
      </w:r>
    </w:p>
    <w:p>
      <w:pPr>
        <w:pStyle w:val="Normal"/>
        <w:tabs>
          <w:tab w:val="clear" w:pos="720"/>
          <w:tab w:val="left" w:pos="204" w:leader="none"/>
        </w:tabs>
        <w:rPr>
          <w:sz w:val="24"/>
        </w:rPr>
      </w:pPr>
      <w:r>
        <w:rPr>
          <w:sz w:val="24"/>
        </w:rPr>
      </w:r>
    </w:p>
    <w:p>
      <w:pPr>
        <w:pStyle w:val="Normal"/>
        <w:tabs>
          <w:tab w:val="clear" w:pos="720"/>
          <w:tab w:val="left" w:pos="204" w:leader="none"/>
        </w:tabs>
        <w:rPr>
          <w:sz w:val="24"/>
        </w:rPr>
      </w:pPr>
      <w:r>
        <w:rPr>
          <w:sz w:val="24"/>
        </w:rPr>
      </w:r>
    </w:p>
    <w:p>
      <w:pPr>
        <w:pStyle w:val="Normal"/>
        <w:tabs>
          <w:tab w:val="clear" w:pos="720"/>
          <w:tab w:val="left" w:pos="204" w:leader="none"/>
        </w:tabs>
        <w:rPr>
          <w:sz w:val="24"/>
        </w:rPr>
      </w:pPr>
      <w:r>
        <w:rPr>
          <w:sz w:val="24"/>
        </w:rPr>
      </w:r>
    </w:p>
    <w:p>
      <w:pPr>
        <w:pStyle w:val="TxBrp9"/>
        <w:spacing w:lineRule="exact" w:line="243"/>
        <w:ind w:firstLine="20" w:start="0" w:end="0"/>
        <w:jc w:val="center"/>
        <w:rPr>
          <w:b/>
          <w:bCs/>
          <w:sz w:val="24"/>
        </w:rPr>
      </w:pPr>
      <w:r>
        <w:rPr>
          <w:b/>
          <w:bCs/>
          <w:sz w:val="24"/>
        </w:rPr>
        <w:t xml:space="preserve">REPLY BRIEF OF ENRON ENERGY SERVICES, INC. </w:t>
      </w:r>
    </w:p>
    <w:p>
      <w:pPr>
        <w:pStyle w:val="TxBrp9"/>
        <w:spacing w:lineRule="exact" w:line="243"/>
        <w:ind w:firstLine="20" w:start="0" w:end="0"/>
        <w:jc w:val="center"/>
        <w:rPr>
          <w:b/>
          <w:bCs/>
          <w:sz w:val="24"/>
        </w:rPr>
      </w:pPr>
      <w:r>
        <w:rPr>
          <w:b/>
          <w:bCs/>
          <w:sz w:val="24"/>
        </w:rPr>
        <w:t xml:space="preserve">AND </w:t>
      </w:r>
    </w:p>
    <w:p>
      <w:pPr>
        <w:pStyle w:val="TxBrp9"/>
        <w:spacing w:lineRule="exact" w:line="243"/>
        <w:ind w:firstLine="20" w:start="0" w:end="0"/>
        <w:jc w:val="center"/>
        <w:rPr>
          <w:b/>
          <w:bCs/>
          <w:sz w:val="24"/>
        </w:rPr>
      </w:pPr>
      <w:r>
        <w:rPr>
          <w:b/>
          <w:bCs/>
          <w:sz w:val="24"/>
        </w:rPr>
        <w:t>ENRON NORTH AMERICA CORP.</w:t>
      </w:r>
    </w:p>
    <w:p>
      <w:pPr>
        <w:pStyle w:val="Normal"/>
        <w:tabs>
          <w:tab w:val="clear" w:pos="720"/>
          <w:tab w:val="left" w:pos="600" w:leader="none"/>
          <w:tab w:val="left" w:pos="2698" w:leader="none"/>
        </w:tabs>
        <w:spacing w:lineRule="exact" w:line="243"/>
        <w:jc w:val="center"/>
        <w:rPr>
          <w:b/>
          <w:bCs/>
          <w:sz w:val="24"/>
        </w:rPr>
      </w:pPr>
      <w:r>
        <w:rPr>
          <w:b/>
          <w:bCs/>
          <w:sz w:val="24"/>
        </w:rPr>
        <w:t>(PHASE 2)</w:t>
      </w:r>
    </w:p>
    <w:p>
      <w:pPr>
        <w:pStyle w:val="Normal"/>
        <w:tabs>
          <w:tab w:val="clear" w:pos="720"/>
          <w:tab w:val="left" w:pos="600" w:leader="none"/>
          <w:tab w:val="left" w:pos="2698" w:leader="none"/>
        </w:tabs>
        <w:spacing w:lineRule="exact" w:line="243"/>
        <w:rPr>
          <w:b/>
          <w:bCs/>
          <w:sz w:val="24"/>
        </w:rPr>
      </w:pPr>
      <w:r>
        <w:rPr>
          <w:b/>
          <w:bCs/>
          <w:sz w:val="24"/>
        </w:rPr>
      </w:r>
    </w:p>
    <w:p>
      <w:pPr>
        <w:pStyle w:val="Normal"/>
        <w:tabs>
          <w:tab w:val="clear" w:pos="720"/>
          <w:tab w:val="left" w:pos="600" w:leader="none"/>
          <w:tab w:val="left" w:pos="2698" w:leader="none"/>
        </w:tabs>
        <w:spacing w:lineRule="exact" w:line="243"/>
        <w:rPr>
          <w:sz w:val="24"/>
        </w:rPr>
      </w:pPr>
      <w:r>
        <w:rPr>
          <w:sz w:val="24"/>
        </w:rPr>
      </w:r>
    </w:p>
    <w:p>
      <w:pPr>
        <w:pStyle w:val="Normal"/>
        <w:tabs>
          <w:tab w:val="clear" w:pos="720"/>
          <w:tab w:val="left" w:pos="600" w:leader="none"/>
          <w:tab w:val="left" w:pos="2698" w:leader="none"/>
        </w:tabs>
        <w:spacing w:lineRule="exact" w:line="243"/>
        <w:rPr>
          <w:sz w:val="24"/>
        </w:rPr>
      </w:pPr>
      <w:r>
        <w:rPr>
          <w:sz w:val="24"/>
        </w:rPr>
      </w:r>
    </w:p>
    <w:p>
      <w:pPr>
        <w:pStyle w:val="Normal"/>
        <w:tabs>
          <w:tab w:val="clear" w:pos="720"/>
          <w:tab w:val="left" w:pos="600" w:leader="none"/>
          <w:tab w:val="left" w:pos="2698" w:leader="none"/>
        </w:tabs>
        <w:spacing w:lineRule="exact" w:line="243"/>
        <w:rPr>
          <w:sz w:val="24"/>
        </w:rPr>
      </w:pPr>
      <w:r>
        <w:rPr>
          <w:sz w:val="24"/>
        </w:rPr>
      </w:r>
    </w:p>
    <w:p>
      <w:pPr>
        <w:pStyle w:val="Normal"/>
        <w:tabs>
          <w:tab w:val="clear" w:pos="720"/>
          <w:tab w:val="left" w:pos="600" w:leader="none"/>
          <w:tab w:val="left" w:pos="2698" w:leader="none"/>
        </w:tabs>
        <w:spacing w:lineRule="exact" w:line="243"/>
        <w:rPr>
          <w:sz w:val="24"/>
        </w:rPr>
      </w:pPr>
      <w:r>
        <w:rPr>
          <w:sz w:val="24"/>
        </w:rPr>
      </w:r>
    </w:p>
    <w:p>
      <w:pPr>
        <w:pStyle w:val="Normal"/>
        <w:tabs>
          <w:tab w:val="clear" w:pos="720"/>
          <w:tab w:val="left" w:pos="600" w:leader="none"/>
          <w:tab w:val="left" w:pos="2698" w:leader="none"/>
        </w:tabs>
        <w:spacing w:lineRule="exact" w:line="243"/>
        <w:rPr>
          <w:sz w:val="24"/>
        </w:rPr>
      </w:pPr>
      <w:r>
        <w:rPr>
          <w:sz w:val="24"/>
        </w:rPr>
      </w:r>
    </w:p>
    <w:p>
      <w:pPr>
        <w:pStyle w:val="Normal"/>
        <w:tabs>
          <w:tab w:val="clear" w:pos="720"/>
          <w:tab w:val="left" w:pos="600" w:leader="none"/>
          <w:tab w:val="left" w:pos="2698" w:leader="none"/>
        </w:tabs>
        <w:spacing w:lineRule="exact" w:line="243"/>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ind w:firstLine="720" w:start="3600" w:end="0"/>
        <w:rPr>
          <w:sz w:val="24"/>
        </w:rPr>
      </w:pPr>
      <w:r>
        <w:rPr>
          <w:sz w:val="24"/>
        </w:rPr>
      </w:r>
    </w:p>
    <w:p>
      <w:pPr>
        <w:pStyle w:val="Normal"/>
        <w:ind w:firstLine="720" w:start="3600" w:end="0"/>
        <w:rPr>
          <w:sz w:val="24"/>
        </w:rPr>
      </w:pPr>
      <w:r>
        <w:rPr>
          <w:sz w:val="24"/>
        </w:rPr>
      </w:r>
    </w:p>
    <w:p>
      <w:pPr>
        <w:pStyle w:val="Normal"/>
        <w:ind w:firstLine="720" w:start="3600" w:end="0"/>
        <w:rPr>
          <w:sz w:val="24"/>
        </w:rPr>
      </w:pPr>
      <w:r>
        <w:rPr>
          <w:sz w:val="24"/>
        </w:rPr>
      </w:r>
    </w:p>
    <w:p>
      <w:pPr>
        <w:pStyle w:val="Normal"/>
        <w:ind w:firstLine="720" w:start="3600" w:end="0"/>
        <w:rPr>
          <w:sz w:val="24"/>
        </w:rPr>
      </w:pPr>
      <w:r>
        <w:rPr>
          <w:sz w:val="24"/>
        </w:rPr>
      </w:r>
    </w:p>
    <w:p>
      <w:pPr>
        <w:pStyle w:val="Normal"/>
        <w:ind w:firstLine="720" w:start="3600" w:end="0"/>
        <w:rPr>
          <w:sz w:val="24"/>
        </w:rPr>
      </w:pPr>
      <w:r>
        <w:rPr>
          <w:sz w:val="24"/>
        </w:rPr>
      </w:r>
    </w:p>
    <w:p>
      <w:pPr>
        <w:pStyle w:val="Normal"/>
        <w:ind w:firstLine="720" w:start="3600" w:end="0"/>
        <w:rPr>
          <w:sz w:val="24"/>
        </w:rPr>
      </w:pPr>
      <w:r>
        <w:rPr>
          <w:sz w:val="24"/>
        </w:rPr>
      </w:r>
    </w:p>
    <w:p>
      <w:pPr>
        <w:pStyle w:val="Heading4"/>
        <w:ind w:start="5040" w:end="0"/>
        <w:rPr/>
      </w:pPr>
      <w:r>
        <w:rPr/>
        <w:t>Robert J. Frank</w:t>
      </w:r>
    </w:p>
    <w:p>
      <w:pPr>
        <w:pStyle w:val="Normal"/>
        <w:ind w:start="5040" w:end="0"/>
        <w:rPr>
          <w:sz w:val="24"/>
        </w:rPr>
      </w:pPr>
      <w:r>
        <w:rPr>
          <w:sz w:val="24"/>
        </w:rPr>
        <w:t>Government Affairs</w:t>
      </w:r>
    </w:p>
    <w:p>
      <w:pPr>
        <w:pStyle w:val="Normal"/>
        <w:ind w:start="5040" w:end="0"/>
        <w:rPr>
          <w:sz w:val="24"/>
        </w:rPr>
      </w:pPr>
      <w:r>
        <w:rPr>
          <w:sz w:val="24"/>
        </w:rPr>
        <w:t>Enron Corp.</w:t>
      </w:r>
    </w:p>
    <w:p>
      <w:pPr>
        <w:pStyle w:val="Normal"/>
        <w:ind w:start="5040" w:end="0"/>
        <w:rPr>
          <w:sz w:val="24"/>
        </w:rPr>
      </w:pPr>
      <w:r>
        <w:rPr>
          <w:sz w:val="24"/>
        </w:rPr>
        <w:t>1400 Smith Street</w:t>
      </w:r>
    </w:p>
    <w:p>
      <w:pPr>
        <w:pStyle w:val="Normal"/>
        <w:ind w:start="5040" w:end="0"/>
        <w:rPr>
          <w:sz w:val="24"/>
        </w:rPr>
      </w:pPr>
      <w:r>
        <w:rPr>
          <w:sz w:val="24"/>
        </w:rPr>
        <w:t>Houston, TX 77002-7361</w:t>
      </w:r>
    </w:p>
    <w:p>
      <w:pPr>
        <w:pStyle w:val="Normal"/>
        <w:ind w:start="5040" w:end="0"/>
        <w:rPr>
          <w:sz w:val="24"/>
        </w:rPr>
      </w:pPr>
      <w:r>
        <w:rPr>
          <w:sz w:val="24"/>
        </w:rPr>
        <w:t>(713) 853-3180</w:t>
        <w:tab/>
        <w:t xml:space="preserve"> </w:t>
      </w:r>
    </w:p>
    <w:p>
      <w:pPr>
        <w:pStyle w:val="Normal"/>
        <w:spacing w:lineRule="auto" w:line="480"/>
        <w:rPr>
          <w:sz w:val="24"/>
        </w:rPr>
      </w:pPr>
      <w:r>
        <w:rPr>
          <w:sz w:val="24"/>
        </w:rPr>
      </w:r>
    </w:p>
    <w:p>
      <w:pPr>
        <w:pStyle w:val="Normal"/>
        <w:jc w:val="center"/>
        <w:rPr>
          <w:b/>
          <w:sz w:val="24"/>
        </w:rPr>
      </w:pPr>
      <w:r>
        <w:rPr>
          <w:b/>
          <w:sz w:val="24"/>
        </w:rPr>
        <w:t>I.</w:t>
      </w:r>
    </w:p>
    <w:p>
      <w:pPr>
        <w:pStyle w:val="Heading1"/>
        <w:numPr>
          <w:ilvl w:val="0"/>
          <w:numId w:val="0"/>
        </w:numPr>
        <w:ind w:hanging="0" w:start="0"/>
        <w:jc w:val="center"/>
        <w:rPr>
          <w:b/>
        </w:rPr>
      </w:pPr>
      <w:r>
        <w:rPr>
          <w:b/>
        </w:rPr>
        <w:t>INTRODUCTION</w:t>
      </w:r>
    </w:p>
    <w:p>
      <w:pPr>
        <w:pStyle w:val="Heading1"/>
        <w:numPr>
          <w:ilvl w:val="0"/>
          <w:numId w:val="0"/>
        </w:numPr>
        <w:ind w:firstLine="720" w:start="0" w:end="0"/>
        <w:rPr/>
      </w:pPr>
      <w:r>
        <w:rPr/>
        <w:t xml:space="preserve">Enron Energy Services, Inc. and Enron North America Corp. (jointly, “Enron”) submit to the California Public Utilities Commission (CPUC or Commission) this reply memorandum concerning Phase 2 of this proceeding.  The discussion below responds primarily to arguments raised by other parties relative to standby charges and distribution wheeling rates.    </w:t>
      </w:r>
    </w:p>
    <w:p>
      <w:pPr>
        <w:pStyle w:val="BodyTextIndent"/>
        <w:spacing w:lineRule="auto" w:line="240"/>
        <w:ind w:hanging="0" w:end="0"/>
        <w:jc w:val="center"/>
        <w:rPr>
          <w:b/>
        </w:rPr>
      </w:pPr>
      <w:r>
        <w:rPr>
          <w:b/>
        </w:rPr>
        <w:t>II.</w:t>
      </w:r>
    </w:p>
    <w:p>
      <w:pPr>
        <w:pStyle w:val="BodyTextIndent"/>
        <w:ind w:hanging="0" w:end="0"/>
        <w:jc w:val="center"/>
        <w:rPr>
          <w:b/>
        </w:rPr>
      </w:pPr>
      <w:r>
        <w:rPr>
          <w:b/>
        </w:rPr>
        <w:t>DISCUSSION</w:t>
      </w:r>
    </w:p>
    <w:p>
      <w:pPr>
        <w:pStyle w:val="Heading1"/>
        <w:numPr>
          <w:ilvl w:val="0"/>
          <w:numId w:val="0"/>
        </w:numPr>
        <w:ind w:firstLine="720" w:start="0" w:end="0"/>
        <w:rPr/>
      </w:pPr>
      <w:r>
        <w:rPr/>
        <w:t>Phase Two of this proceeding was not intended to develop specific rate proposals for utility distribution companies (UDCs).  Rather, Administrative Law Judge Cooke ruled that it was intended to develop “a conceptual framework and overarching rate design principles.”</w:t>
      </w:r>
      <w:r>
        <w:rPr>
          <w:rStyle w:val="FootnoteCharacters"/>
          <w:rStyle w:val="FootnoteReference"/>
        </w:rPr>
        <w:footnoteReference w:id="2"/>
      </w:r>
      <w:r>
        <w:rPr/>
        <w:t xml:space="preserve">  Consistent with this directive, Enron’s testimony was intended to illustrate and advance the following principles and conceptual points.</w:t>
      </w:r>
    </w:p>
    <w:p>
      <w:pPr>
        <w:pStyle w:val="Normal"/>
        <w:numPr>
          <w:ilvl w:val="0"/>
          <w:numId w:val="5"/>
        </w:numPr>
        <w:spacing w:lineRule="auto" w:line="480"/>
        <w:rPr>
          <w:sz w:val="24"/>
        </w:rPr>
      </w:pPr>
      <w:r>
        <w:rPr>
          <w:b/>
          <w:bCs/>
          <w:sz w:val="24"/>
        </w:rPr>
        <w:t>Customer choice should be maximized</w:t>
      </w:r>
      <w:r>
        <w:rPr>
          <w:sz w:val="24"/>
        </w:rPr>
        <w:t>: Customers using DG should be allowed to choose from different distribution rate and service options - - as long as the rates fairly compensate UDCs for the services provided.  Customers should also have the option of selecting non-firm standby services.  According to the testimony of Enron’s witness, many large customers may be interested in acquiring standby services on an interruptible basis in exchange for reduced rates.</w:t>
      </w:r>
      <w:r>
        <w:rPr>
          <w:rStyle w:val="FootnoteCharacters"/>
          <w:rStyle w:val="FootnoteReference"/>
          <w:sz w:val="24"/>
        </w:rPr>
        <w:footnoteReference w:id="3"/>
      </w:r>
      <w:r>
        <w:rPr>
          <w:sz w:val="24"/>
        </w:rPr>
        <w:t xml:space="preserve">  </w:t>
      </w:r>
    </w:p>
    <w:p>
      <w:pPr>
        <w:pStyle w:val="Normal"/>
        <w:numPr>
          <w:ilvl w:val="0"/>
          <w:numId w:val="3"/>
        </w:numPr>
        <w:spacing w:lineRule="auto" w:line="480"/>
        <w:rPr>
          <w:b/>
          <w:bCs/>
        </w:rPr>
      </w:pPr>
      <w:r>
        <w:rPr>
          <w:b/>
          <w:bCs/>
          <w:sz w:val="24"/>
        </w:rPr>
        <w:t xml:space="preserve">Major distribution costs should be unbundled:  </w:t>
      </w:r>
      <w:r>
        <w:rPr>
          <w:sz w:val="24"/>
        </w:rPr>
        <w:t>Standby rates should reflect the unbundled major cost components of a UDC’s distribution systems.</w:t>
      </w:r>
    </w:p>
    <w:p>
      <w:pPr>
        <w:pStyle w:val="Normal"/>
        <w:numPr>
          <w:ilvl w:val="0"/>
          <w:numId w:val="3"/>
        </w:numPr>
        <w:spacing w:lineRule="auto" w:line="480"/>
        <w:rPr/>
      </w:pPr>
      <w:r>
        <w:rPr>
          <w:b/>
          <w:bCs/>
          <w:sz w:val="24"/>
        </w:rPr>
        <w:t>Rates should reflect equitably apportioned cost responsibility</w:t>
      </w:r>
      <w:r>
        <w:rPr>
          <w:sz w:val="24"/>
        </w:rPr>
        <w:t xml:space="preserve">:  Standby rates should reflect the embedded costs of the distribution system, but customers should not be required to pay twice for the same service, nor should they be unfairly apportioned cost responsibility simply to minimize or eliminate risks from the UDC’s perspective.      </w:t>
      </w:r>
    </w:p>
    <w:p>
      <w:pPr>
        <w:pStyle w:val="Normal"/>
        <w:numPr>
          <w:ilvl w:val="0"/>
          <w:numId w:val="3"/>
        </w:numPr>
        <w:spacing w:lineRule="auto" w:line="480"/>
        <w:rPr/>
      </w:pPr>
      <w:r>
        <w:rPr>
          <w:b/>
          <w:bCs/>
          <w:sz w:val="24"/>
        </w:rPr>
        <w:t xml:space="preserve">Rates should reflect increased load diversity and DG unit reliability:  </w:t>
      </w:r>
      <w:r>
        <w:rPr>
          <w:sz w:val="24"/>
        </w:rPr>
        <w:t xml:space="preserve">The deployment of DG will increase load diversity.  In addition, the reliability of a DG facility may vary.  Both of these factors should be taken into account when apportioning cost responsibility to DG customers.  </w:t>
      </w:r>
      <w:r>
        <w:rPr>
          <w:b/>
          <w:bCs/>
          <w:sz w:val="24"/>
        </w:rPr>
        <w:t xml:space="preserve"> </w:t>
      </w:r>
    </w:p>
    <w:p>
      <w:pPr>
        <w:pStyle w:val="BodyTextIndent"/>
        <w:rPr/>
      </w:pPr>
      <w:r>
        <w:rPr/>
        <w:t xml:space="preserve">Finally, it is clear that the CPUC may require utilities to set unbundled, retail distribution wheeling rates without infringing on the authority of the Federal Energy Regulatory Commission (FERC).  Enron’s position on this issue has remained unchanged:  to the extent FERC authorizes the recovery of transmission-related charges, those charges can be reflected in open access retail distribution tariffs.     </w:t>
      </w:r>
    </w:p>
    <w:p>
      <w:pPr>
        <w:pStyle w:val="Normal"/>
        <w:spacing w:lineRule="auto" w:line="480"/>
        <w:ind w:firstLine="720" w:end="0"/>
        <w:rPr>
          <w:sz w:val="24"/>
        </w:rPr>
      </w:pPr>
      <w:r>
        <w:rPr>
          <w:sz w:val="24"/>
        </w:rPr>
        <w:t>The ensuing discussion expands on several of these points.</w:t>
      </w:r>
    </w:p>
    <w:p>
      <w:pPr>
        <w:pStyle w:val="Heading1"/>
        <w:numPr>
          <w:ilvl w:val="0"/>
          <w:numId w:val="2"/>
        </w:numPr>
        <w:spacing w:lineRule="auto" w:line="240"/>
        <w:ind w:hanging="360" w:start="1512" w:end="0"/>
        <w:rPr>
          <w:b/>
          <w:bCs/>
        </w:rPr>
      </w:pPr>
      <w:r>
        <w:rPr>
          <w:b/>
          <w:bCs/>
        </w:rPr>
        <w:t>Customers installing DG should have the ability to choose from at least two service options that offer different rate structures</w:t>
      </w:r>
    </w:p>
    <w:p>
      <w:pPr>
        <w:pStyle w:val="Normal"/>
        <w:rPr>
          <w:b/>
          <w:bCs/>
          <w:sz w:val="24"/>
        </w:rPr>
      </w:pPr>
      <w:r>
        <w:rPr>
          <w:b/>
          <w:bCs/>
          <w:sz w:val="24"/>
        </w:rPr>
      </w:r>
    </w:p>
    <w:p>
      <w:pPr>
        <w:pStyle w:val="BodyTextIndent"/>
        <w:rPr/>
      </w:pPr>
      <w:r>
        <w:rPr/>
        <w:t>Enron has proposed that customers who install DG be afforded at least two different distribution rate and service structures.  The first rate option (referred to in Enron’s testimony as “come and go” service) would allow DG customers to reserve distribution system capacity for incoming and outgoing delivery of energy based on a contracted level.  Under this option, rates would be set on a comparable basis to the UDC’s standard distribution tariff.</w:t>
      </w:r>
      <w:r>
        <w:rPr>
          <w:rStyle w:val="FootnoteCharacters"/>
          <w:rStyle w:val="FootnoteReference"/>
        </w:rPr>
        <w:footnoteReference w:id="4"/>
      </w:r>
      <w:r>
        <w:rPr/>
        <w:t xml:space="preserve">  As acknowledged in Enron’s testimony, there are details associated with this proposal that warrant further deliberation; however, the fundamental principle is that customers would pay a single fee to utilize the distribution system for both standby and retail distribution wheeling services.</w:t>
      </w:r>
      <w:r>
        <w:rPr>
          <w:rStyle w:val="FootnoteCharacters"/>
          <w:rStyle w:val="FootnoteReference"/>
        </w:rPr>
        <w:footnoteReference w:id="5"/>
      </w:r>
      <w:r>
        <w:rPr/>
        <w:t xml:space="preserve">  </w:t>
      </w:r>
    </w:p>
    <w:p>
      <w:pPr>
        <w:pStyle w:val="BodyTextIndent"/>
        <w:rPr/>
      </w:pPr>
      <w:r>
        <w:rPr/>
        <w:t xml:space="preserve">The second option would allow customers to acquire standby services on an “unbundled” basis.  Under this option, standby rates would reflect a customer’s  “proportionate responsibility” for distribution system costs.  The cost responsibility attributable to standby customers would be based on their anticipated contribution to the capacity requirements of key components of the distribution system and the projected frequency those customers will use the distribution system.  </w:t>
      </w:r>
    </w:p>
    <w:p>
      <w:pPr>
        <w:pStyle w:val="BodyTextIndent"/>
        <w:rPr/>
      </w:pPr>
      <w:r>
        <w:rPr/>
        <w:t>SCE and PG&amp;E both criticize Enron’s proposal to allow customers to choose between rate options.  According to SCE, this would allow customers to “select the option that results in a lower bill to them to the detriment of the utility and its other customers.”</w:t>
      </w:r>
      <w:r>
        <w:rPr>
          <w:rStyle w:val="FootnoteCharacters"/>
          <w:rStyle w:val="FootnoteReference"/>
        </w:rPr>
        <w:footnoteReference w:id="6"/>
      </w:r>
      <w:r>
        <w:rPr/>
        <w:t xml:space="preserve">  PG&amp;E “opposes optional rates of this sort because they do not provide accurate price signals to customers.”</w:t>
      </w:r>
      <w:r>
        <w:rPr>
          <w:rStyle w:val="FootnoteCharacters"/>
          <w:rStyle w:val="FootnoteReference"/>
        </w:rPr>
        <w:footnoteReference w:id="7"/>
      </w:r>
      <w:r>
        <w:rPr/>
        <w:t xml:space="preserve">  Neither response justifies rejecting Enron’s proposal or the fundamental principle underlying it:  different customers will have different needs, and regulated service options can and should be designed to meet those needs whenever possible.  </w:t>
      </w:r>
    </w:p>
    <w:p>
      <w:pPr>
        <w:pStyle w:val="BodyTextIndent"/>
        <w:rPr/>
      </w:pPr>
      <w:r>
        <w:rPr/>
        <w:t>Instead, SCE opposes customer choice based on the assertion that “standby customers [are] just like any other distribution customer.”</w:t>
      </w:r>
      <w:r>
        <w:rPr>
          <w:rStyle w:val="FootnoteCharacters"/>
          <w:rStyle w:val="FootnoteReference"/>
        </w:rPr>
        <w:footnoteReference w:id="8"/>
      </w:r>
      <w:r>
        <w:rPr/>
        <w:t xml:space="preserve">  While customers installing new DG may share common attributes with other distribution customers, they will certainly create different needs that should be taken into account.  For instance, it has been generally accepted throughout this proceeding that future DG installations will be used by customers for a variety of applications, including base load generation, intermediate and peaking power, emergency backup, export sales --or some combination thereof.  It does not take a great deal of foresight or acumen to understand that customers increasingly want more control over how their energy needs will be met and more options to meet those needs at the lowest possible cost.  It is likely that customers who install DG will be at the forefront of this trend - - hardly behaving “just like any other distribution customer.”  Even if one looks at this in a backward fashion like SCE -- historically, it has been common for utilities to offer rate options to customers.  For example, voluntary time of day rates, real time pricing rates, and curtailment rates are three notable examples that have been used in California and across the nation.  </w:t>
      </w:r>
    </w:p>
    <w:p>
      <w:pPr>
        <w:pStyle w:val="Normal"/>
        <w:spacing w:lineRule="auto" w:line="480"/>
        <w:ind w:firstLine="720" w:end="0"/>
        <w:rPr/>
      </w:pPr>
      <w:r>
        <w:rPr>
          <w:sz w:val="24"/>
        </w:rPr>
        <w:t>Moreover, in criticizing Enron’s proposal to give standby customers choice between two proposals, SCE has adopted a “head I win, tails you lose” approach.  SCE criticizes the first rate option (“come and go”) on the ground that a non-DG customer and a DG customer would pay the same basic distribution rate for two distinct services (i.e., “incoming” standby service as well as “outgoing” export services).  According to SCE, “[u]nder cost-based rates, the rates should reflect the distinct services provided.”</w:t>
      </w:r>
      <w:r>
        <w:rPr>
          <w:rStyle w:val="FootnoteCharacters"/>
          <w:rStyle w:val="FootnoteReference"/>
          <w:sz w:val="24"/>
        </w:rPr>
        <w:footnoteReference w:id="9"/>
      </w:r>
      <w:r>
        <w:rPr>
          <w:sz w:val="24"/>
        </w:rPr>
        <w:t xml:space="preserve">  However, SCE then attacks Enron’s second rate option (“pay as you go service”) by claiming “Enron proposes to charge two distinct rates for the same service, while not proving if either rate is even based on the cost of providing the uniform service.” </w:t>
      </w:r>
      <w:r>
        <w:rPr>
          <w:rStyle w:val="FootnoteCharacters"/>
          <w:rStyle w:val="FootnoteReference"/>
          <w:sz w:val="24"/>
        </w:rPr>
        <w:footnoteReference w:id="10"/>
      </w:r>
      <w:r>
        <w:rPr>
          <w:sz w:val="24"/>
        </w:rPr>
        <w:t xml:space="preserve">  On one hand, SCE criticizes Enron for not recognizing “distinct services,” yet on the other it SCE denounces Enron for proposing to unbundle these services.  The Commission should see through this as yet another attempt to deny customers rate options that encourage the development of competitive sources of DG.  </w:t>
      </w:r>
    </w:p>
    <w:p>
      <w:pPr>
        <w:pStyle w:val="Normal"/>
        <w:spacing w:lineRule="auto" w:line="480"/>
        <w:ind w:firstLine="720" w:end="0"/>
        <w:rPr/>
      </w:pPr>
      <w:r>
        <w:rPr>
          <w:sz w:val="24"/>
        </w:rPr>
        <w:t>PG&amp;E opposes customer choice in this area by claiming that alternative rates will result in cost shifting.</w:t>
      </w:r>
      <w:r>
        <w:rPr>
          <w:rStyle w:val="FootnoteCharacters"/>
          <w:rStyle w:val="FootnoteReference"/>
          <w:sz w:val="24"/>
        </w:rPr>
        <w:footnoteReference w:id="11"/>
      </w:r>
      <w:r>
        <w:rPr>
          <w:sz w:val="24"/>
        </w:rPr>
        <w:t xml:space="preserve">  However, PG&amp;E has not refuted Enron’s claim that under either option, the utility is fairly compensated for its service.  In the case of “come and go service,” Enron has suggested that the DG customer pay the utility’s rates for distribution capacity only once and then be able to utilize that paid-for capacity to wheel power.  In the case of “pay-as-you-go” service, Enron has proposed that a volumetric retail wheeling rate, in addition to a standby charge that reflects the diversity of the customer’s use of the distribution system (“proportionate responsibility”).  The volumetric rate is simply the average cost of moving a kwh through the distribution system.  Neither PG&amp;E nor SCE has explained why this would not be a cost-based rate.  </w:t>
      </w:r>
    </w:p>
    <w:p>
      <w:pPr>
        <w:pStyle w:val="Normal"/>
        <w:spacing w:lineRule="auto" w:line="480"/>
        <w:ind w:firstLine="720" w:end="0"/>
        <w:rPr/>
      </w:pPr>
      <w:r>
        <w:rPr>
          <w:sz w:val="24"/>
        </w:rPr>
        <w:t xml:space="preserve">In short, Enron has proposed giving DG customers a choice of standby rates because doing so appropriately responds to the different needs of customers and because it promotes the clearly articulated objectives of this proceeding.  Under either option, standby rates would be designed to afford UDCs a reasonable and fair opportunity to recover distribution costs.  Thus, even if the Commission rejects the notion of giving DG customers a choice of rate structures as Enron has proposed, the Commission could approve </w:t>
      </w:r>
      <w:r>
        <w:rPr>
          <w:i/>
          <w:iCs/>
          <w:sz w:val="24"/>
        </w:rPr>
        <w:t xml:space="preserve">either </w:t>
      </w:r>
      <w:r>
        <w:rPr>
          <w:sz w:val="24"/>
        </w:rPr>
        <w:t xml:space="preserve">of the two options.  </w:t>
      </w:r>
    </w:p>
    <w:p>
      <w:pPr>
        <w:pStyle w:val="Heading1"/>
        <w:numPr>
          <w:ilvl w:val="0"/>
          <w:numId w:val="2"/>
        </w:numPr>
        <w:spacing w:lineRule="auto" w:line="240"/>
        <w:ind w:hanging="360" w:start="1512" w:end="0"/>
        <w:rPr>
          <w:b/>
          <w:bCs/>
        </w:rPr>
      </w:pPr>
      <w:r>
        <w:rPr>
          <w:b/>
          <w:bCs/>
        </w:rPr>
        <w:t xml:space="preserve">Standby charges should fairly assign cost responsibility, not unfairly require customers to pay twice or pay for services they do not use </w:t>
      </w:r>
    </w:p>
    <w:p>
      <w:pPr>
        <w:pStyle w:val="FootnoteText"/>
        <w:rPr>
          <w:b/>
          <w:bCs/>
        </w:rPr>
      </w:pPr>
      <w:r>
        <w:rPr>
          <w:b/>
          <w:bCs/>
        </w:rPr>
      </w:r>
    </w:p>
    <w:p>
      <w:pPr>
        <w:pStyle w:val="Normal"/>
        <w:spacing w:lineRule="auto" w:line="480"/>
        <w:ind w:firstLine="720" w:end="0"/>
        <w:rPr/>
      </w:pPr>
      <w:r>
        <w:rPr>
          <w:sz w:val="24"/>
        </w:rPr>
        <w:t>Similar to its attack on distribution wheeling rates, SCE claims Enron’s proposed standby service options are not cost-based.</w:t>
      </w:r>
      <w:r>
        <w:rPr>
          <w:rStyle w:val="FootnoteCharacters"/>
          <w:rStyle w:val="FootnoteReference"/>
          <w:b/>
          <w:bCs/>
          <w:sz w:val="24"/>
        </w:rPr>
        <w:footnoteReference w:id="12"/>
      </w:r>
      <w:r>
        <w:rPr>
          <w:sz w:val="24"/>
        </w:rPr>
        <w:t xml:space="preserve">  Such a claim is tantamount to SCE simply saying that its own distribution demand charges for distribution delivery are not cost-based.  Enron’s first proposal (“come and go service”) is premised on the notion that a DG customer should not have to pay twice for the utility’s fixed costs of building and maintaining a distribution delivery system.  If the utility charges the DG customer for distribution standby capacity, and the customer pays the fixed charges for that capacity, then the customer should not have to pay an additional amount to use the capacity for wheeling.  </w:t>
      </w:r>
    </w:p>
    <w:p>
      <w:pPr>
        <w:pStyle w:val="BodyTextIndent"/>
        <w:rPr/>
      </w:pPr>
      <w:r>
        <w:rPr/>
        <w:t>SCE further criticizes the proposal on the ground that administering capacity reservation for distribution is “extremely difficult and costly” and requires the utility to “continuously keep track of reserved capacity and the remaining available capacity on each distribution circuit.”</w:t>
      </w:r>
      <w:r>
        <w:rPr>
          <w:rStyle w:val="FootnoteCharacters"/>
          <w:rStyle w:val="FootnoteReference"/>
        </w:rPr>
        <w:footnoteReference w:id="13"/>
      </w:r>
      <w:r>
        <w:rPr/>
        <w:t xml:space="preserve">  Distribution capacity planning and monitoring is an integral part of owning a distribution system.  SCE’s argument would have the Commission believe that SCE should not be held responsible for maintaining information on the availability of distribution capacity.  If that is the case, SCE has raised serious concerns about its willingness to maintain a reliable distribution system.  </w:t>
      </w:r>
    </w:p>
    <w:p>
      <w:pPr>
        <w:pStyle w:val="Normal"/>
        <w:ind w:start="1145" w:end="0"/>
        <w:rPr>
          <w:b/>
          <w:bCs/>
          <w:sz w:val="24"/>
        </w:rPr>
      </w:pPr>
      <w:r>
        <w:rPr>
          <w:b/>
          <w:bCs/>
          <w:sz w:val="24"/>
        </w:rPr>
      </w:r>
    </w:p>
    <w:p>
      <w:pPr>
        <w:pStyle w:val="Normal"/>
        <w:ind w:start="1145" w:end="0"/>
        <w:rPr>
          <w:b/>
          <w:bCs/>
          <w:sz w:val="24"/>
        </w:rPr>
      </w:pPr>
      <w:r>
        <w:rPr>
          <w:b/>
          <w:bCs/>
          <w:sz w:val="24"/>
        </w:rPr>
      </w:r>
    </w:p>
    <w:p>
      <w:pPr>
        <w:pStyle w:val="Normal"/>
        <w:ind w:start="1145" w:end="0"/>
        <w:rPr>
          <w:b/>
          <w:bCs/>
          <w:sz w:val="24"/>
        </w:rPr>
      </w:pPr>
      <w:r>
        <w:rPr>
          <w:b/>
          <w:bCs/>
          <w:sz w:val="24"/>
        </w:rPr>
      </w:r>
    </w:p>
    <w:p>
      <w:pPr>
        <w:pStyle w:val="Normal"/>
        <w:numPr>
          <w:ilvl w:val="0"/>
          <w:numId w:val="2"/>
        </w:numPr>
        <w:rPr>
          <w:b/>
          <w:bCs/>
          <w:sz w:val="24"/>
        </w:rPr>
      </w:pPr>
      <w:r>
        <w:rPr>
          <w:b/>
          <w:bCs/>
          <w:sz w:val="24"/>
        </w:rPr>
        <w:t xml:space="preserve">The CPUC can establish unbundled retail distribution rates without infringing on FERC authority to set transmission charges  </w:t>
        <w:tab/>
      </w:r>
    </w:p>
    <w:p>
      <w:pPr>
        <w:pStyle w:val="Normal"/>
        <w:rPr>
          <w:b/>
          <w:bCs/>
          <w:sz w:val="24"/>
        </w:rPr>
      </w:pPr>
      <w:r>
        <w:rPr>
          <w:b/>
          <w:bCs/>
          <w:sz w:val="24"/>
        </w:rPr>
      </w:r>
    </w:p>
    <w:p>
      <w:pPr>
        <w:pStyle w:val="BodyTextIndent"/>
        <w:rPr/>
      </w:pPr>
      <w:r>
        <w:rPr/>
        <w:t>SCE alleges that the proposals of Enron and others are “fraught” with jurisdictional problems because SCE and the California ISO are required to charge customers for transmission services in accordance with FERC-filed tariffs.  SCE has repeatedly mischaracterized Enron’s position on this issue:  Enron does not dispute FERC’s authority to determine the appropriate level of transmission charges in unbundled retail transactions.  Enron’s proposal anticipates that if FERC decides transmission charges are appropriate for retail distribution wheeling transactions, the CPUC will authorize UDCs to collect those charges.  However, this does not undermine the CPUC’s authority to require open access distribution tariffs or to set retail distribution rates in the manner that it deems appropriate.  SCE attacks Enron’s proposal for pricing retail distribution wheeling as “untried and untested.”</w:t>
      </w:r>
      <w:r>
        <w:rPr>
          <w:rStyle w:val="FootnoteCharacters"/>
          <w:rStyle w:val="FootnoteReference"/>
        </w:rPr>
        <w:footnoteReference w:id="14"/>
      </w:r>
      <w:r>
        <w:rPr/>
        <w:t xml:space="preserve">  Apparently, SCE advocates nothing more than the status quo.  The status quo will not advance the interests of California’s energy consumers, nor will it encourage the regulatory reforms necessary to advance California’s energy policies, including policies to facilitate the deployment of DG.     </w:t>
      </w:r>
      <w:r>
        <w:rPr>
          <w:b/>
        </w:rPr>
        <w:t xml:space="preserve"> </w:t>
      </w:r>
    </w:p>
    <w:p>
      <w:pPr>
        <w:pStyle w:val="Heading3"/>
        <w:rPr/>
      </w:pPr>
      <w:r>
        <w:rPr/>
        <w:t>Conclusion</w:t>
      </w:r>
    </w:p>
    <w:p>
      <w:pPr>
        <w:pStyle w:val="Normal"/>
        <w:spacing w:lineRule="auto" w:line="480"/>
        <w:rPr/>
      </w:pPr>
      <w:r>
        <w:rPr>
          <w:b/>
          <w:sz w:val="24"/>
        </w:rPr>
        <w:tab/>
      </w:r>
      <w:r>
        <w:rPr>
          <w:bCs/>
          <w:sz w:val="24"/>
        </w:rPr>
        <w:t xml:space="preserve">Enron commends the Commission for initiating this proceeding to facilitate the deployment of distributed generation within the State of California.  Enron respectfully urges the Commission to consider and adopt the policies and principles underlying Enron’s testimony in matter.   </w:t>
      </w:r>
    </w:p>
    <w:p>
      <w:pPr>
        <w:pStyle w:val="Normal"/>
        <w:spacing w:lineRule="auto" w:line="480"/>
        <w:ind w:firstLine="720" w:start="3600" w:end="0"/>
        <w:rPr>
          <w:bCs/>
          <w:sz w:val="24"/>
        </w:rPr>
      </w:pPr>
      <w:r>
        <w:rPr>
          <w:bCs/>
          <w:sz w:val="24"/>
        </w:rPr>
      </w:r>
    </w:p>
    <w:p>
      <w:pPr>
        <w:pStyle w:val="Normal"/>
        <w:spacing w:lineRule="auto" w:line="480"/>
        <w:ind w:firstLine="720" w:start="3600" w:end="0"/>
        <w:rPr>
          <w:sz w:val="24"/>
        </w:rPr>
      </w:pPr>
      <w:r>
        <w:rPr>
          <w:sz w:val="24"/>
        </w:rPr>
        <w:t>Respectfully submitted,</w:t>
      </w:r>
    </w:p>
    <w:p>
      <w:pPr>
        <w:pStyle w:val="Normal"/>
        <w:spacing w:lineRule="auto" w:line="480"/>
        <w:rPr>
          <w:sz w:val="24"/>
        </w:rPr>
      </w:pPr>
      <w:r>
        <w:rPr>
          <w:sz w:val="24"/>
        </w:rPr>
      </w:r>
    </w:p>
    <w:p>
      <w:pPr>
        <w:pStyle w:val="Normal"/>
        <w:rPr>
          <w:sz w:val="24"/>
        </w:rPr>
      </w:pPr>
      <w:r>
        <w:rPr>
          <w:sz w:val="24"/>
        </w:rPr>
        <w:tab/>
        <w:tab/>
        <w:tab/>
        <w:tab/>
        <w:tab/>
        <w:tab/>
        <w:t>________________________</w:t>
      </w:r>
    </w:p>
    <w:p>
      <w:pPr>
        <w:pStyle w:val="Normal"/>
        <w:rPr>
          <w:sz w:val="24"/>
        </w:rPr>
      </w:pPr>
      <w:r>
        <w:rPr>
          <w:sz w:val="24"/>
        </w:rPr>
        <w:tab/>
        <w:tab/>
        <w:tab/>
        <w:tab/>
        <w:tab/>
        <w:tab/>
        <w:t>Robert J. Frank</w:t>
      </w:r>
    </w:p>
    <w:p>
      <w:pPr>
        <w:pStyle w:val="Normal"/>
        <w:rPr>
          <w:sz w:val="24"/>
        </w:rPr>
      </w:pPr>
      <w:r>
        <w:rPr>
          <w:sz w:val="24"/>
        </w:rPr>
        <w:tab/>
        <w:tab/>
        <w:tab/>
        <w:tab/>
        <w:tab/>
        <w:tab/>
        <w:t>Director</w:t>
      </w:r>
    </w:p>
    <w:p>
      <w:pPr>
        <w:pStyle w:val="Normal"/>
        <w:rPr>
          <w:sz w:val="24"/>
        </w:rPr>
      </w:pPr>
      <w:r>
        <w:rPr>
          <w:sz w:val="24"/>
        </w:rPr>
        <w:tab/>
        <w:tab/>
        <w:tab/>
        <w:tab/>
        <w:tab/>
        <w:tab/>
        <w:t>Government Affairs</w:t>
      </w:r>
    </w:p>
    <w:p>
      <w:pPr>
        <w:pStyle w:val="Normal"/>
        <w:rPr>
          <w:sz w:val="24"/>
        </w:rPr>
      </w:pPr>
      <w:r>
        <w:rPr>
          <w:sz w:val="24"/>
        </w:rPr>
        <w:tab/>
        <w:tab/>
        <w:tab/>
        <w:tab/>
        <w:tab/>
        <w:tab/>
        <w:t>Enron Corp.</w:t>
      </w:r>
    </w:p>
    <w:p>
      <w:pPr>
        <w:pStyle w:val="Normal"/>
        <w:rPr>
          <w:sz w:val="24"/>
        </w:rPr>
      </w:pPr>
      <w:r>
        <w:rPr>
          <w:sz w:val="24"/>
        </w:rPr>
        <w:tab/>
        <w:tab/>
        <w:tab/>
        <w:tab/>
        <w:tab/>
        <w:tab/>
        <w:t>1400 Smith Street</w:t>
      </w:r>
    </w:p>
    <w:p>
      <w:pPr>
        <w:pStyle w:val="Normal"/>
        <w:rPr>
          <w:sz w:val="24"/>
        </w:rPr>
      </w:pPr>
      <w:r>
        <w:rPr>
          <w:sz w:val="24"/>
        </w:rPr>
        <w:tab/>
        <w:tab/>
        <w:tab/>
        <w:tab/>
        <w:tab/>
        <w:tab/>
        <w:t>Houston, TX 77002-7361</w:t>
      </w:r>
    </w:p>
    <w:p>
      <w:pPr>
        <w:pStyle w:val="Normal"/>
        <w:rPr>
          <w:sz w:val="24"/>
        </w:rPr>
      </w:pPr>
      <w:r>
        <w:rPr>
          <w:sz w:val="24"/>
        </w:rPr>
        <w:tab/>
        <w:tab/>
        <w:tab/>
        <w:tab/>
        <w:tab/>
        <w:tab/>
        <w:t>(713) 853-3180</w:t>
        <w:tab/>
        <w:t xml:space="preserve"> </w:t>
      </w:r>
    </w:p>
    <w:p>
      <w:pPr>
        <w:pStyle w:val="Normal"/>
        <w:spacing w:lineRule="auto" w:line="480"/>
        <w:rPr>
          <w:sz w:val="24"/>
        </w:rPr>
      </w:pPr>
      <w:r>
        <w:rPr>
          <w:sz w:val="24"/>
        </w:rPr>
      </w:r>
    </w:p>
    <w:p>
      <w:pPr>
        <w:pStyle w:val="Normal"/>
        <w:spacing w:lineRule="auto" w:line="480"/>
        <w:ind w:firstLine="720" w:end="0"/>
        <w:rPr>
          <w:sz w:val="24"/>
        </w:rPr>
      </w:pPr>
      <w:r>
        <w:rPr>
          <w:sz w:val="24"/>
        </w:rPr>
      </w:r>
    </w:p>
    <w:p>
      <w:pPr>
        <w:pStyle w:val="Normal"/>
        <w:spacing w:lineRule="auto" w:line="480"/>
        <w:ind w:firstLine="720" w:end="0"/>
        <w:rPr>
          <w:sz w:val="24"/>
        </w:rPr>
      </w:pPr>
      <w:r>
        <w:rPr>
          <w:sz w:val="24"/>
        </w:rPr>
      </w:r>
    </w:p>
    <w:p>
      <w:pPr>
        <w:pStyle w:val="BodyTextIndent"/>
        <w:rPr/>
      </w:pPr>
      <w:r>
        <w:rPr/>
      </w:r>
    </w:p>
    <w:p>
      <w:pPr>
        <w:pStyle w:val="BodyTextIndent"/>
        <w:rPr/>
      </w:pPr>
      <w:r>
        <w:rPr/>
      </w:r>
    </w:p>
    <w:p>
      <w:pPr>
        <w:pStyle w:val="BodyTextIndent"/>
        <w:rPr/>
      </w:pPr>
      <w:r>
        <w:rPr/>
      </w:r>
    </w:p>
    <w:p>
      <w:pPr>
        <w:pStyle w:val="BodyTextIndent"/>
        <w:rPr/>
      </w:pPr>
      <w:r>
        <w:rPr/>
      </w:r>
    </w:p>
    <w:p>
      <w:pPr>
        <w:pStyle w:val="BodyTextIndent"/>
        <w:rPr/>
      </w:pPr>
      <w:r>
        <w:rPr/>
      </w:r>
    </w:p>
    <w:p>
      <w:pPr>
        <w:pStyle w:val="BodyTextIndent"/>
        <w:rPr/>
      </w:pPr>
      <w:r>
        <w:rPr/>
      </w:r>
    </w:p>
    <w:p>
      <w:pPr>
        <w:pStyle w:val="BodyTextIndent"/>
        <w:rPr/>
      </w:pPr>
      <w:r>
        <w:rPr/>
      </w:r>
    </w:p>
    <w:p>
      <w:pPr>
        <w:pStyle w:val="BodyTextIndent"/>
        <w:rPr/>
      </w:pPr>
      <w:r>
        <w:rPr/>
      </w:r>
    </w:p>
    <w:p>
      <w:pPr>
        <w:pStyle w:val="BodyTextIndent"/>
        <w:rPr/>
      </w:pPr>
      <w:r>
        <w:rPr/>
      </w:r>
    </w:p>
    <w:p>
      <w:pPr>
        <w:pStyle w:val="BodyTextIndent"/>
        <w:rPr/>
      </w:pPr>
      <w:r>
        <w:rPr/>
      </w:r>
    </w:p>
    <w:p>
      <w:pPr>
        <w:pStyle w:val="BodyTextIndent"/>
        <w:jc w:val="center"/>
        <w:rPr>
          <w:b/>
          <w:bCs/>
        </w:rPr>
      </w:pPr>
      <w:r>
        <w:rPr>
          <w:b/>
          <w:bCs/>
        </w:rPr>
      </w:r>
    </w:p>
    <w:p>
      <w:pPr>
        <w:pStyle w:val="BodyTextIndent"/>
        <w:jc w:val="center"/>
        <w:rPr>
          <w:b/>
          <w:bCs/>
        </w:rPr>
      </w:pPr>
      <w:r>
        <w:rPr>
          <w:b/>
          <w:bCs/>
        </w:rPr>
      </w:r>
    </w:p>
    <w:p>
      <w:pPr>
        <w:pStyle w:val="BodyTextIndent"/>
        <w:jc w:val="center"/>
        <w:rPr>
          <w:b/>
          <w:bCs/>
        </w:rPr>
      </w:pPr>
      <w:r>
        <w:rPr>
          <w:b/>
          <w:bCs/>
        </w:rPr>
      </w:r>
    </w:p>
    <w:p>
      <w:pPr>
        <w:pStyle w:val="BodyTextIndent"/>
        <w:jc w:val="center"/>
        <w:rPr>
          <w:b/>
          <w:bCs/>
        </w:rPr>
      </w:pPr>
      <w:r>
        <w:rPr>
          <w:b/>
          <w:bCs/>
        </w:rPr>
      </w:r>
    </w:p>
    <w:p>
      <w:pPr>
        <w:pStyle w:val="BodyTextIndent"/>
        <w:ind w:hanging="0" w:end="0"/>
        <w:rPr>
          <w:b/>
          <w:bCs/>
        </w:rPr>
      </w:pPr>
      <w:r>
        <w:rPr>
          <w:b/>
          <w:bCs/>
        </w:rPr>
      </w:r>
    </w:p>
    <w:p>
      <w:pPr>
        <w:pStyle w:val="BodyTextIndent"/>
        <w:ind w:hanging="0" w:end="0"/>
        <w:jc w:val="center"/>
        <w:rPr>
          <w:b/>
          <w:bCs/>
        </w:rPr>
      </w:pPr>
      <w:r>
        <w:rPr>
          <w:b/>
          <w:bCs/>
        </w:rPr>
        <w:t>CERTIFICATE OF SERVICE</w:t>
      </w:r>
    </w:p>
    <w:p>
      <w:pPr>
        <w:pStyle w:val="BodyTextIndent"/>
        <w:rPr/>
      </w:pPr>
      <w:r>
        <w:rPr/>
        <w:t>I hereby certify that on this 13</w:t>
      </w:r>
      <w:r>
        <w:rPr>
          <w:vertAlign w:val="superscript"/>
        </w:rPr>
        <w:t>th</w:t>
      </w:r>
      <w:r>
        <w:rPr/>
        <w:t xml:space="preserve"> day of December 2000, I served by electronic and first-class mail copies of the foregoing Reply Brief of Enron Energy Services, Inc. and Enron North America, Corp., on all parties listed on the attached service list. </w:t>
      </w:r>
    </w:p>
    <w:p>
      <w:pPr>
        <w:pStyle w:val="BodyTextIndent"/>
        <w:spacing w:lineRule="auto" w:line="240"/>
        <w:rPr/>
      </w:pPr>
      <w:r>
        <w:rPr/>
        <w:tab/>
        <w:tab/>
        <w:tab/>
        <w:tab/>
        <w:tab/>
        <w:t>__________________________</w:t>
      </w:r>
    </w:p>
    <w:p>
      <w:pPr>
        <w:pStyle w:val="BodyTextIndent"/>
        <w:spacing w:lineRule="auto" w:line="240"/>
        <w:rPr/>
      </w:pPr>
      <w:r>
        <w:rPr/>
        <w:tab/>
        <w:tab/>
        <w:tab/>
        <w:tab/>
        <w:tab/>
        <w:t>Robert J. Frank</w:t>
      </w:r>
    </w:p>
    <w:p>
      <w:pPr>
        <w:pStyle w:val="BodyTextIndent"/>
        <w:rPr/>
      </w:pPr>
      <w:r>
        <w:rPr/>
      </w:r>
    </w:p>
    <w:p>
      <w:pPr>
        <w:pStyle w:val="BodyTextIndent"/>
        <w:rPr/>
      </w:pPr>
      <w:r>
        <w:rPr/>
      </w:r>
    </w:p>
    <w:p>
      <w:pPr>
        <w:pStyle w:val="BodyTextIndent"/>
        <w:rPr/>
      </w:pPr>
      <w:r>
        <w:rPr/>
      </w:r>
    </w:p>
    <w:p>
      <w:pPr>
        <w:pStyle w:val="BodyTextIndent"/>
        <w:rPr/>
      </w:pPr>
      <w:r>
        <w:rPr/>
      </w:r>
    </w:p>
    <w:p>
      <w:pPr>
        <w:pStyle w:val="BodyTextIndent"/>
        <w:rPr/>
      </w:pPr>
      <w:r>
        <w:rPr/>
      </w:r>
    </w:p>
    <w:p>
      <w:pPr>
        <w:pStyle w:val="BodyTextIndent"/>
        <w:rPr/>
      </w:pPr>
      <w:r>
        <w:rPr/>
      </w:r>
    </w:p>
    <w:sectPr>
      <w:footerReference w:type="default" r:id="rId2"/>
      <w:footerReference w:type="first" r:id="rId3"/>
      <w:footnotePr>
        <w:numFmt w:val="decimal"/>
      </w:footnotePr>
      <w:type w:val="nextPage"/>
      <w:pgSz w:w="12240" w:h="15840"/>
      <w:pgMar w:left="1800" w:right="1800" w:gutter="0" w:header="0" w:top="1440" w:footer="720" w:bottom="1440"/>
      <w:pgNumType w:start="0"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i/>
          <w:iCs/>
        </w:rPr>
        <w:t>Administrative Law Judge’s Ruling Regarding Scope of Phase 2 Testimony and Other Procedural Matter</w:t>
      </w:r>
      <w:r>
        <w:rPr/>
        <w:t xml:space="preserve"> (June 9, 2000).  </w:t>
      </w:r>
    </w:p>
  </w:footnote>
  <w:footnote w:id="3">
    <w:p>
      <w:pPr>
        <w:pStyle w:val="FootnoteText"/>
        <w:rPr/>
      </w:pPr>
      <w:r>
        <w:rPr>
          <w:rStyle w:val="FootnoteCharacters"/>
        </w:rPr>
        <w:footnoteRef/>
      </w:r>
      <w:r>
        <w:rPr/>
        <w:t xml:space="preserve"> </w:t>
      </w:r>
      <w:r>
        <w:rPr/>
        <w:t>Enron/Kingerski, Transcript Volume 11, p.985.</w:t>
      </w:r>
    </w:p>
  </w:footnote>
  <w:footnote w:id="4">
    <w:p>
      <w:pPr>
        <w:pStyle w:val="FootnoteText"/>
        <w:rPr/>
      </w:pPr>
      <w:r>
        <w:rPr>
          <w:rStyle w:val="FootnoteCharacters"/>
        </w:rPr>
        <w:footnoteRef/>
      </w:r>
      <w:r>
        <w:rPr/>
        <w:t xml:space="preserve"> </w:t>
      </w:r>
      <w:r>
        <w:rPr/>
        <w:t>Enron Testimony, Exhibit 127 at lines 5-15.</w:t>
      </w:r>
    </w:p>
  </w:footnote>
  <w:footnote w:id="5">
    <w:p>
      <w:pPr>
        <w:pStyle w:val="FootnoteText"/>
        <w:rPr/>
      </w:pPr>
      <w:r>
        <w:rPr>
          <w:rStyle w:val="FootnoteCharacters"/>
        </w:rPr>
        <w:footnoteRef/>
      </w:r>
      <w:r>
        <w:rPr/>
        <w:t xml:space="preserve"> </w:t>
      </w:r>
      <w:r>
        <w:rPr>
          <w:i/>
          <w:iCs/>
        </w:rPr>
        <w:t>See</w:t>
      </w:r>
      <w:r>
        <w:rPr/>
        <w:t xml:space="preserve"> Enron Testimony, Exhibit 127 at fn.2.  Also, Enron acknowledges that legitimate jurisdictional issues arise if a DG customer seeks to export power to a </w:t>
      </w:r>
      <w:r>
        <w:rPr>
          <w:u w:val="single"/>
        </w:rPr>
        <w:t>wholesale customer</w:t>
      </w:r>
      <w:r>
        <w:rPr/>
        <w:t>.  Enron agrees with the view that in such cases, FERC has exclusive jurisdiction to regulate the wholesale wheeling services, regardless of whether the facilities are designated transmission, distribution, or local distribution.</w:t>
      </w:r>
    </w:p>
  </w:footnote>
  <w:footnote w:id="6">
    <w:p>
      <w:pPr>
        <w:pStyle w:val="FootnoteText"/>
        <w:rPr/>
      </w:pPr>
      <w:r>
        <w:rPr>
          <w:rStyle w:val="FootnoteCharacters"/>
        </w:rPr>
        <w:footnoteRef/>
      </w:r>
      <w:r>
        <w:rPr/>
        <w:t xml:space="preserve"> </w:t>
      </w:r>
      <w:r>
        <w:rPr/>
        <w:t>Opening Phase 2 Brief of Southern California Edison Company Concerning Distributed Generation, p. 27.</w:t>
      </w:r>
    </w:p>
  </w:footnote>
  <w:footnote w:id="7">
    <w:p>
      <w:pPr>
        <w:pStyle w:val="FootnoteText"/>
        <w:rPr/>
      </w:pPr>
      <w:r>
        <w:rPr>
          <w:rStyle w:val="FootnoteCharacters"/>
        </w:rPr>
        <w:footnoteRef/>
      </w:r>
      <w:r>
        <w:rPr/>
        <w:t xml:space="preserve"> </w:t>
      </w:r>
      <w:r>
        <w:rPr/>
        <w:t>Opening Brief of Pacific Gas and Electric Company on Phase Two Issues, p. 17.</w:t>
      </w:r>
    </w:p>
  </w:footnote>
  <w:footnote w:id="8">
    <w:p>
      <w:pPr>
        <w:pStyle w:val="FootnoteText"/>
        <w:rPr/>
      </w:pPr>
      <w:r>
        <w:rPr>
          <w:rStyle w:val="FootnoteCharacters"/>
        </w:rPr>
        <w:footnoteRef/>
      </w:r>
      <w:r>
        <w:rPr/>
        <w:t xml:space="preserve"> </w:t>
      </w:r>
      <w:r>
        <w:rPr/>
        <w:t xml:space="preserve">Opening Phase 2 Brief of SCE at 13 (emphasis added).  </w:t>
      </w:r>
    </w:p>
  </w:footnote>
  <w:footnote w:id="9">
    <w:p>
      <w:pPr>
        <w:pStyle w:val="FootnoteText"/>
        <w:rPr/>
      </w:pPr>
      <w:r>
        <w:rPr>
          <w:rStyle w:val="FootnoteCharacters"/>
        </w:rPr>
        <w:footnoteRef/>
      </w:r>
      <w:r>
        <w:rPr/>
        <w:t xml:space="preserve"> </w:t>
      </w:r>
      <w:r>
        <w:rPr/>
        <w:t xml:space="preserve">Opening Phase 2 Brief of SCE at 26   </w:t>
      </w:r>
    </w:p>
  </w:footnote>
  <w:footnote w:id="10">
    <w:p>
      <w:pPr>
        <w:pStyle w:val="FootnoteText"/>
        <w:rPr/>
      </w:pPr>
      <w:r>
        <w:rPr>
          <w:rStyle w:val="FootnoteCharacters"/>
        </w:rPr>
        <w:footnoteRef/>
      </w:r>
      <w:r>
        <w:rPr/>
        <w:t xml:space="preserve"> </w:t>
      </w:r>
      <w:r>
        <w:rPr/>
        <w:t>Opening Brief of SCE at 26.</w:t>
      </w:r>
    </w:p>
  </w:footnote>
  <w:footnote w:id="11">
    <w:p>
      <w:pPr>
        <w:pStyle w:val="FootnoteText"/>
        <w:rPr/>
      </w:pPr>
      <w:r>
        <w:rPr>
          <w:rStyle w:val="FootnoteCharacters"/>
        </w:rPr>
        <w:footnoteRef/>
      </w:r>
      <w:r>
        <w:rPr/>
        <w:t xml:space="preserve"> </w:t>
      </w:r>
      <w:r>
        <w:rPr/>
        <w:t>Opening Brief of PG&amp;E at 17.</w:t>
      </w:r>
    </w:p>
  </w:footnote>
  <w:footnote w:id="12">
    <w:p>
      <w:pPr>
        <w:pStyle w:val="FootnoteText"/>
        <w:rPr/>
      </w:pPr>
      <w:r>
        <w:rPr>
          <w:rStyle w:val="FootnoteCharacters"/>
        </w:rPr>
        <w:footnoteRef/>
      </w:r>
      <w:r>
        <w:rPr/>
        <w:t xml:space="preserve"> </w:t>
      </w:r>
      <w:r>
        <w:rPr/>
        <w:t>SCE Memorandum at 26.</w:t>
      </w:r>
    </w:p>
  </w:footnote>
  <w:footnote w:id="13">
    <w:p>
      <w:pPr>
        <w:pStyle w:val="FootnoteText"/>
        <w:rPr/>
      </w:pPr>
      <w:r>
        <w:rPr>
          <w:rStyle w:val="FootnoteCharacters"/>
        </w:rPr>
        <w:footnoteRef/>
      </w:r>
      <w:r>
        <w:rPr/>
        <w:t xml:space="preserve"> </w:t>
      </w:r>
      <w:r>
        <w:rPr/>
        <w:t>SCE Memorandum at 26.</w:t>
      </w:r>
    </w:p>
  </w:footnote>
  <w:footnote w:id="14">
    <w:p>
      <w:pPr>
        <w:pStyle w:val="FootnoteText"/>
        <w:rPr/>
      </w:pPr>
      <w:r>
        <w:rPr>
          <w:rStyle w:val="FootnoteCharacters"/>
        </w:rPr>
        <w:footnoteRef/>
      </w:r>
      <w:r>
        <w:rPr/>
        <w:t xml:space="preserve"> </w:t>
      </w:r>
      <w:r>
        <w:rPr/>
        <w:t>Opening Phase 2 Brief of SCE at 25.</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upperLetter"/>
      <w:lvlText w:val="%1."/>
      <w:lvlJc w:val="start"/>
      <w:pPr>
        <w:tabs>
          <w:tab w:val="num" w:pos="1505"/>
        </w:tabs>
        <w:ind w:start="1505" w:hanging="360"/>
      </w:p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4"/>
      <w:numFmt w:val="upperLetter"/>
      <w:lvlText w:val="%1."/>
      <w:lvlJc w:val="start"/>
      <w:pPr>
        <w:tabs>
          <w:tab w:val="num" w:pos="1440"/>
        </w:tabs>
        <w:ind w:start="1440" w:hanging="720"/>
      </w:pPr>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uto" w:line="480"/>
      <w:outlineLvl w:val="0"/>
    </w:pPr>
    <w:rPr>
      <w:sz w:val="24"/>
    </w:rPr>
  </w:style>
  <w:style w:type="paragraph" w:styleId="Heading2">
    <w:name w:val="heading 2"/>
    <w:basedOn w:val="Normal"/>
    <w:next w:val="Normal"/>
    <w:qFormat/>
    <w:pPr>
      <w:keepNext w:val="true"/>
      <w:numPr>
        <w:ilvl w:val="0"/>
        <w:numId w:val="4"/>
      </w:numPr>
      <w:spacing w:lineRule="auto" w:line="480"/>
      <w:outlineLvl w:val="1"/>
    </w:pPr>
    <w:rPr>
      <w:b/>
      <w:bCs/>
      <w:sz w:val="24"/>
    </w:rPr>
  </w:style>
  <w:style w:type="paragraph" w:styleId="Heading3">
    <w:name w:val="heading 3"/>
    <w:basedOn w:val="Normal"/>
    <w:next w:val="Normal"/>
    <w:qFormat/>
    <w:pPr>
      <w:keepNext w:val="true"/>
      <w:spacing w:lineRule="auto" w:line="480"/>
      <w:jc w:val="center"/>
      <w:outlineLvl w:val="2"/>
    </w:pPr>
    <w:rPr>
      <w:b/>
      <w:sz w:val="24"/>
    </w:rPr>
  </w:style>
  <w:style w:type="paragraph" w:styleId="Heading4">
    <w:name w:val="heading 4"/>
    <w:basedOn w:val="Normal"/>
    <w:next w:val="Normal"/>
    <w:qFormat/>
    <w:pPr>
      <w:keepNext w:val="true"/>
      <w:outlineLvl w:val="3"/>
    </w:pPr>
    <w:rPr>
      <w:sz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style>
  <w:style w:type="character" w:styleId="WW8Num9z0">
    <w:name w:val="WW8Num9z0"/>
    <w:qFormat/>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sz w:val="24"/>
    </w:rPr>
  </w:style>
  <w:style w:type="paragraph" w:styleId="BodyText">
    <w:name w:val="Body Text"/>
    <w:basedOn w:val="Normal"/>
    <w:pPr>
      <w:spacing w:before="120" w:after="120"/>
    </w:pPr>
    <w:rPr>
      <w:rFonts w:ascii="Tahoma" w:hAnsi="Tahoma" w:cs="Tahoma"/>
      <w:b/>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480"/>
      <w:ind w:firstLine="720" w:start="0" w:end="0"/>
    </w:pPr>
    <w:rPr>
      <w:sz w:val="24"/>
    </w:rPr>
  </w:style>
  <w:style w:type="paragraph" w:styleId="FootnoteText">
    <w:name w:val="footnote text"/>
    <w:basedOn w:val="Normal"/>
    <w:pPr/>
    <w:rPr/>
  </w:style>
  <w:style w:type="paragraph" w:styleId="TxBrc1">
    <w:name w:val="TxBr_c1"/>
    <w:basedOn w:val="Normal"/>
    <w:qFormat/>
    <w:pPr>
      <w:widowControl w:val="false"/>
      <w:overflowPunct w:val="false"/>
      <w:autoSpaceDE w:val="false"/>
      <w:spacing w:lineRule="atLeast" w:line="240"/>
      <w:jc w:val="center"/>
      <w:textAlignment w:val="baseline"/>
    </w:pPr>
    <w:rPr/>
  </w:style>
  <w:style w:type="paragraph" w:styleId="TxBrp9">
    <w:name w:val="TxBr_p9"/>
    <w:basedOn w:val="Normal"/>
    <w:qFormat/>
    <w:pPr>
      <w:widowControl w:val="false"/>
      <w:tabs>
        <w:tab w:val="clear" w:pos="720"/>
        <w:tab w:val="left" w:pos="600" w:leader="none"/>
        <w:tab w:val="left" w:pos="2698" w:leader="none"/>
      </w:tabs>
      <w:overflowPunct w:val="false"/>
      <w:autoSpaceDE w:val="false"/>
      <w:spacing w:lineRule="atLeast" w:line="243"/>
      <w:ind w:hanging="2098" w:start="2699" w:end="0"/>
      <w:textAlignment w:val="baselin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spacing w:lineRule="auto" w:line="480"/>
    </w:pPr>
    <w:rPr>
      <w:sz w:val="24"/>
    </w:rPr>
  </w:style>
  <w:style w:type="paragraph" w:styleId="BodyTextIndent2">
    <w:name w:val="Body Text Indent 2"/>
    <w:basedOn w:val="Normal"/>
    <w:qFormat/>
    <w:pPr>
      <w:spacing w:lineRule="auto" w:line="480"/>
      <w:ind w:firstLine="425" w:start="720" w:end="0"/>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2000-12-13T16:30:00Z</dcterms:created>
  <dc:creator>Compaq</dc:creator>
  <dc:description/>
  <dc:language>en-CA</dc:language>
  <cp:lastModifiedBy>rfrank</cp:lastModifiedBy>
  <cp:lastPrinted>2000-12-13T13:47:00Z</cp:lastPrinted>
  <dcterms:modified xsi:type="dcterms:W3CDTF">2000-12-13T18:03:00Z</dcterms:modified>
  <cp:revision>8</cp:revision>
  <dc:subject/>
  <dc:title>I</dc:title>
</cp:coreProperties>
</file>