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pacing w:lineRule="auto" w:line="240"/>
        <w:jc w:val="center"/>
        <w:rPr>
          <w:rFonts w:ascii="Times New Roman" w:hAnsi="Times New Roman" w:cs="Times New Roman"/>
          <w:b/>
        </w:rPr>
      </w:pPr>
      <w:r>
        <w:rPr>
          <w:rFonts w:cs="Times New Roman" w:ascii="Times New Roman" w:hAnsi="Times New Roman"/>
          <w:b/>
        </w:rPr>
      </w:r>
    </w:p>
    <w:p>
      <w:pPr>
        <w:pStyle w:val="standard"/>
        <w:spacing w:lineRule="auto" w:line="240"/>
        <w:jc w:val="center"/>
        <w:rPr>
          <w:rFonts w:ascii="Times New Roman" w:hAnsi="Times New Roman" w:cs="Times New Roman"/>
          <w:b/>
        </w:rPr>
      </w:pPr>
      <w:r>
        <w:rPr>
          <w:rFonts w:cs="Times New Roman" w:ascii="Times New Roman" w:hAnsi="Times New Roman"/>
          <w:b/>
        </w:rPr>
        <w:t>ATTACHMENT A</w:t>
      </w:r>
    </w:p>
    <w:p>
      <w:pPr>
        <w:pStyle w:val="standard"/>
        <w:spacing w:lineRule="auto" w:line="240"/>
        <w:jc w:val="center"/>
        <w:rPr>
          <w:rFonts w:ascii="Times New Roman" w:hAnsi="Times New Roman" w:cs="Times New Roman"/>
          <w:b/>
        </w:rPr>
      </w:pPr>
      <w:r>
        <w:rPr>
          <w:rFonts w:cs="Times New Roman" w:ascii="Times New Roman" w:hAnsi="Times New Roman"/>
          <w:b/>
        </w:rPr>
        <w:t>Phase 2 Testimony Rate Design Questions</w:t>
      </w:r>
    </w:p>
    <w:p>
      <w:pPr>
        <w:pStyle w:val="standard"/>
        <w:spacing w:lineRule="auto" w:line="240"/>
        <w:jc w:val="center"/>
        <w:rPr>
          <w:rFonts w:ascii="Times New Roman" w:hAnsi="Times New Roman" w:cs="Times New Roman"/>
          <w:b/>
        </w:rPr>
      </w:pPr>
      <w:r>
        <w:rPr>
          <w:rFonts w:cs="Times New Roman" w:ascii="Times New Roman" w:hAnsi="Times New Roman"/>
          <w:b/>
        </w:rPr>
      </w:r>
    </w:p>
    <w:p>
      <w:pPr>
        <w:pStyle w:val="Heading1"/>
        <w:numPr>
          <w:ilvl w:val="0"/>
          <w:numId w:val="0"/>
        </w:numPr>
        <w:ind w:hanging="0" w:start="0"/>
        <w:rPr/>
      </w:pPr>
      <w:r>
        <w:rPr>
          <w:rFonts w:cs="Times New Roman" w:ascii="Times New Roman" w:hAnsi="Times New Roman"/>
          <w:u w:val="single"/>
        </w:rPr>
        <w:t>Stranded Costs</w:t>
      </w:r>
      <w:r>
        <w:rPr>
          <w:rFonts w:cs="Times New Roman" w:ascii="Times New Roman" w:hAnsi="Times New Roman"/>
        </w:rPr>
        <w:t>:</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To what extent is stranded cost recovery appropriate in a competitive market?  What kinds of stranded costs may occur with the deployment of distributed generation? Define stranded cost and identify likely components.</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Provide a methodology for calculating stranded costs associated with distributed generation deployment.</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How should the Commission assess whether stranded costs have occurred from deployment of distributed generation?</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Discuss the policy conditions and market factors, which will impact the determination if there are stranded costs</w:t>
      </w:r>
      <w:r>
        <w:rPr>
          <w:rFonts w:cs="Times New Roman" w:ascii="Times New Roman" w:hAnsi="Times New Roman"/>
          <w:b/>
        </w:rPr>
        <w:t xml:space="preserve"> </w:t>
      </w:r>
      <w:r>
        <w:rPr>
          <w:rFonts w:cs="Times New Roman" w:ascii="Times New Roman" w:hAnsi="Times New Roman"/>
        </w:rPr>
        <w:t>(i.e. future resolution of ownership issues of distributed generation). What method can be used to identify stranded costs?  How would stranded costs, if any, be reflected in the CTC or rates?</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What rates will affect or are applicable to the development of the distributed generation market?  Discuss how the rate design of these rates (including standby and bypass charges), and stranded costs will mutually affect one another.</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Should benefits and revenues be considered as offsets to any stranded costs? If yes, how?</w:t>
      </w:r>
    </w:p>
    <w:p>
      <w:pPr>
        <w:pStyle w:val="Heading1"/>
        <w:numPr>
          <w:ilvl w:val="0"/>
          <w:numId w:val="0"/>
        </w:numPr>
        <w:ind w:hanging="0" w:start="0"/>
        <w:rPr/>
      </w:pPr>
      <w:r>
        <w:rPr>
          <w:rFonts w:cs="Times New Roman" w:ascii="Times New Roman" w:hAnsi="Times New Roman"/>
          <w:u w:val="single"/>
        </w:rPr>
        <w:t>Implementation Costs</w:t>
      </w:r>
      <w:r>
        <w:rPr>
          <w:rFonts w:cs="Times New Roman" w:ascii="Times New Roman" w:hAnsi="Times New Roman"/>
        </w:rPr>
        <w:t>:</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 xml:space="preserve">Should implementation costs incurred to broadly accommodate distributed generation deployment, if any, be considered in order to facilitate distributed generation competition?  For example, how should system improvements to accommodate distributed generation be charged when costs cannot be ascribed to a specific generator?  How should these costs be accounted for through rate or non-rate vehicles? </w:t>
      </w:r>
      <w:r>
        <w:br w:type="page"/>
      </w:r>
    </w:p>
    <w:p>
      <w:pPr>
        <w:pStyle w:val="Header"/>
        <w:widowControl/>
        <w:tabs>
          <w:tab w:val="clear" w:pos="4320"/>
          <w:tab w:val="clear" w:pos="8640"/>
        </w:tabs>
        <w:rPr>
          <w:rFonts w:ascii="Times New Roman" w:hAnsi="Times New Roman" w:cs="Times New Roman"/>
        </w:rPr>
      </w:pPr>
      <w:r>
        <w:rPr>
          <w:rFonts w:cs="Times New Roman" w:ascii="Times New Roman" w:hAnsi="Times New Roman"/>
        </w:rPr>
      </w:r>
    </w:p>
    <w:p>
      <w:pPr>
        <w:pStyle w:val="Heading1"/>
        <w:numPr>
          <w:ilvl w:val="0"/>
          <w:numId w:val="0"/>
        </w:numPr>
        <w:ind w:hanging="0" w:start="0"/>
        <w:rPr/>
      </w:pPr>
      <w:r>
        <w:rPr>
          <w:rFonts w:cs="Times New Roman" w:ascii="Times New Roman" w:hAnsi="Times New Roman"/>
          <w:u w:val="single"/>
        </w:rPr>
        <w:t>Standby Charges and General Rate Design for the Distributed Generation Market</w:t>
      </w:r>
      <w:r>
        <w:rPr>
          <w:rFonts w:cs="Times New Roman" w:ascii="Times New Roman" w:hAnsi="Times New Roman"/>
        </w:rPr>
        <w:t>:</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Are standby charges appropriate in a competitive distributed generation market? How should standby charges be structured?</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Should the standby charge reflect the incremental cost of providing service? If so, should performance data be developed on the reliability of installed distributed generation facilities? How could such data be collected and used?</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Should the standby charge be based on the full costs of serving the customer? If so, how can the costs associated with providing standby service be quantified?</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What costs should be included in the standby charge?</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Identify and discuss how the current standby rate structure may prevent or hinder the deployment of distributed generation.   Discussion should include how these rates can be modified to facilitate distributed generation deployment.</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Do current standby rates accurately reflect the T&amp;D cost of providing standby service?</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Does the recovered cost of standby facilities accurately reflect the probability that backup service is required?</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Should there be consistency of the rate design of standby charges among the UDCs? How can consistent rate design be ensured?</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Discuss how standby rate design options will affect end-user choice and cost allocation. Examples of rate design options could include standby rates that reflect:</w:t>
      </w:r>
    </w:p>
    <w:p>
      <w:pPr>
        <w:pStyle w:val="Normal"/>
        <w:numPr>
          <w:ilvl w:val="0"/>
          <w:numId w:val="3"/>
        </w:numPr>
        <w:rPr/>
      </w:pPr>
      <w:r>
        <w:rPr/>
        <w:t>Different levels of reliability, frequency of use, or differing voltage levels</w:t>
      </w:r>
    </w:p>
    <w:p>
      <w:pPr>
        <w:pStyle w:val="Normal"/>
        <w:numPr>
          <w:ilvl w:val="0"/>
          <w:numId w:val="3"/>
        </w:numPr>
        <w:rPr/>
      </w:pPr>
      <w:r>
        <w:rPr/>
        <w:t>Firm standby or non-firm service</w:t>
      </w:r>
    </w:p>
    <w:p>
      <w:pPr>
        <w:pStyle w:val="Normal"/>
        <w:numPr>
          <w:ilvl w:val="0"/>
          <w:numId w:val="3"/>
        </w:numPr>
        <w:rPr/>
      </w:pPr>
      <w:r>
        <w:rPr/>
        <w:t>Fixed connection charge</w:t>
      </w:r>
    </w:p>
    <w:p>
      <w:pPr>
        <w:pStyle w:val="Normal"/>
        <w:numPr>
          <w:ilvl w:val="0"/>
          <w:numId w:val="3"/>
        </w:numPr>
        <w:rPr/>
      </w:pPr>
      <w:r>
        <w:rPr/>
        <w:t>Demand structure and ratchets</w:t>
      </w:r>
    </w:p>
    <w:p>
      <w:pPr>
        <w:pStyle w:val="Normal"/>
        <w:numPr>
          <w:ilvl w:val="0"/>
          <w:numId w:val="3"/>
        </w:numPr>
        <w:rPr/>
      </w:pPr>
      <w:r>
        <w:rPr/>
        <w:t>TOD/TOU structures</w:t>
      </w:r>
    </w:p>
    <w:p>
      <w:pPr>
        <w:pStyle w:val="Normal"/>
        <w:numPr>
          <w:ilvl w:val="0"/>
          <w:numId w:val="3"/>
        </w:numPr>
        <w:rPr/>
      </w:pPr>
      <w:r>
        <w:rPr/>
        <w:t>Elimination of potential redundancies between demand and standby charges.</w:t>
      </w:r>
    </w:p>
    <w:p>
      <w:pPr>
        <w:pStyle w:val="Normal"/>
        <w:numPr>
          <w:ilvl w:val="0"/>
          <w:numId w:val="3"/>
        </w:numPr>
        <w:rPr/>
      </w:pPr>
      <w:r>
        <w:rPr/>
        <w:t>Geographical impacts on standby costs.</w:t>
      </w:r>
    </w:p>
    <w:p>
      <w:pPr>
        <w:pStyle w:val="Normal"/>
        <w:numPr>
          <w:ilvl w:val="0"/>
          <w:numId w:val="3"/>
        </w:numPr>
        <w:rPr/>
      </w:pPr>
      <w:r>
        <w:rPr/>
        <w:t>Grid or customer charges</w:t>
      </w:r>
    </w:p>
    <w:p>
      <w:pPr>
        <w:pStyle w:val="Normal"/>
        <w:rPr/>
      </w:pPr>
      <w:r>
        <w:rPr/>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Identify and discuss how the current structure of rates or charges applicable to distributed generation customers may prevent or hinder the deployment of distributed generation.   Discussion should include charges of any otherwise applicable tariff, including the customer charge, fixed connection charge, demand charge, or proposed grid charges.  Discussion should include how these rates can be modified to facilitate distributed generation deployment. Identify and discuss the same for any rates and charges proposed in concurrent proceedings.</w:t>
      </w:r>
    </w:p>
    <w:p>
      <w:pPr>
        <w:pStyle w:val="standard"/>
        <w:spacing w:lineRule="auto" w:line="240" w:before="60" w:after="60"/>
        <w:ind w:hanging="0" w:end="0"/>
        <w:rPr>
          <w:rFonts w:ascii="Times New Roman" w:hAnsi="Times New Roman" w:cs="Times New Roman"/>
        </w:rPr>
      </w:pPr>
      <w:r>
        <w:rPr>
          <w:rFonts w:cs="Times New Roman" w:ascii="Times New Roman" w:hAnsi="Times New Roman"/>
        </w:rPr>
      </w:r>
    </w:p>
    <w:p>
      <w:pPr>
        <w:pStyle w:val="BodyTextIndent"/>
        <w:rPr/>
      </w:pPr>
      <w:r>
        <w:rPr>
          <w:rFonts w:cs="Times New Roman" w:ascii="Times New Roman" w:hAnsi="Times New Roman"/>
          <w:b/>
          <w:sz w:val="26"/>
          <w:u w:val="single"/>
        </w:rPr>
        <w:t>Distribution Wheeling and Distribution-Only Rates</w:t>
      </w:r>
      <w:r>
        <w:rPr>
          <w:rFonts w:cs="Times New Roman" w:ascii="Times New Roman" w:hAnsi="Times New Roman"/>
          <w:b/>
          <w:sz w:val="26"/>
        </w:rPr>
        <w:t>:</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If the Commission determines that distribution wheeling is applicable to distributed generation, how should distribution wheeling rates be structured?  For example, how should transmission be charged to end user customers taking power by wheeling through primary and/or secondary distribution only?  How should primary distribution be charged to end user customers taking power by wheeling via secondary distribution only?</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How can services be identified for unbundling to develop distribution-only tariffs?</w:t>
      </w:r>
    </w:p>
    <w:p>
      <w:pPr>
        <w:pStyle w:val="Normal"/>
        <w:rPr>
          <w:rFonts w:ascii="Times New Roman" w:hAnsi="Times New Roman" w:cs="Times New Roman"/>
        </w:rPr>
      </w:pPr>
      <w:r>
        <w:rPr>
          <w:rFonts w:cs="Times New Roman"/>
        </w:rPr>
      </w:r>
    </w:p>
    <w:p>
      <w:pPr>
        <w:pStyle w:val="BodyText3"/>
        <w:rPr>
          <w:rFonts w:ascii="Times New Roman" w:hAnsi="Times New Roman" w:cs="Times New Roman"/>
          <w:u w:val="none"/>
        </w:rPr>
      </w:pPr>
      <w:r>
        <w:rPr>
          <w:rFonts w:cs="Times New Roman" w:ascii="Times New Roman" w:hAnsi="Times New Roman"/>
        </w:rPr>
        <w:t>Exit Fees/Bypass Charges, Pricing Flexibility, and PBR Proposals to Minimize Cost-Shifting:</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Are proposed mechanisms such as exit fees/bypass charges, pricing flexibility, and PBR incentives to offset cost-shifting from potential bypass appropriate in a competitive electric market?  Is the need to consider bypass charge proposals, exit fee proposals, or the option to offer of flexible pricing contingent upon the Commission’s decision on stranded costs?</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Are there differences between exit fees and bypass charges? Define “exiting customer”.</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 xml:space="preserve">Compare the use of pricing flexibility, exit fees, bypass charges, and PBR incentive mechanisms to minimize cost shifting or potential stranded cost from bypass due to distributed generation.  </w:t>
      </w:r>
    </w:p>
    <w:p>
      <w:pPr>
        <w:pStyle w:val="standard"/>
        <w:spacing w:lineRule="auto" w:line="240" w:before="60" w:after="60"/>
        <w:ind w:hanging="0" w:end="0"/>
        <w:rPr>
          <w:rFonts w:ascii="Times New Roman" w:hAnsi="Times New Roman" w:cs="Times New Roman"/>
        </w:rPr>
      </w:pPr>
      <w:r>
        <w:rPr>
          <w:rFonts w:cs="Times New Roman" w:ascii="Times New Roman" w:hAnsi="Times New Roman"/>
        </w:rPr>
      </w:r>
    </w:p>
    <w:p>
      <w:pPr>
        <w:pStyle w:val="Normal"/>
        <w:numPr>
          <w:ilvl w:val="1"/>
          <w:numId w:val="2"/>
        </w:numPr>
        <w:rPr/>
      </w:pPr>
      <w:r>
        <w:rPr/>
        <w:t xml:space="preserve">Explain the impact of each mechanism in reducing potential loss of revenues due to distributed generation bypass.   </w:t>
      </w:r>
    </w:p>
    <w:p>
      <w:pPr>
        <w:pStyle w:val="Normal"/>
        <w:numPr>
          <w:ilvl w:val="1"/>
          <w:numId w:val="2"/>
        </w:numPr>
        <w:rPr/>
      </w:pPr>
      <w:r>
        <w:rPr/>
        <w:t>Evaluate how each mechanism would affect allocation of the revenue shortfall or stranded cost among stakeholders or remaining ratepayers; how will the remaining load be charged?</w:t>
      </w:r>
    </w:p>
    <w:p>
      <w:pPr>
        <w:pStyle w:val="Normal"/>
        <w:numPr>
          <w:ilvl w:val="1"/>
          <w:numId w:val="2"/>
        </w:numPr>
        <w:rPr/>
      </w:pPr>
      <w:r>
        <w:rPr/>
        <w:t>Discuss the structure and application of these proposals to prevent cost shifting from potential stranded cost from bypass to distributed generation.  Testimony should include discussion of price floors and risk allocation where applicable to these proposals.</w:t>
      </w:r>
    </w:p>
    <w:p>
      <w:pPr>
        <w:pStyle w:val="Normal"/>
        <w:rPr/>
      </w:pPr>
      <w:r>
        <w:rPr/>
      </w:r>
    </w:p>
    <w:p>
      <w:pPr>
        <w:pStyle w:val="Heading1"/>
        <w:numPr>
          <w:ilvl w:val="0"/>
          <w:numId w:val="0"/>
        </w:numPr>
        <w:ind w:hanging="0" w:start="0"/>
        <w:rPr/>
      </w:pPr>
      <w:r>
        <w:rPr>
          <w:rFonts w:cs="Times New Roman" w:ascii="Times New Roman" w:hAnsi="Times New Roman"/>
          <w:u w:val="single"/>
        </w:rPr>
        <w:t>PBR Incentives to Incorporate Distributed Generation Deployment</w:t>
      </w:r>
      <w:r>
        <w:rPr>
          <w:rFonts w:cs="Times New Roman" w:ascii="Times New Roman" w:hAnsi="Times New Roman"/>
        </w:rPr>
        <w:t>:</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 xml:space="preserve">What objectives or outcomes should a PBR achieve in order to minimize potential stranded costs and cost shifting and facilitate distributed generation deployment? For example, certain parties have proposed that mechanisms be developed to separate UDC revenues from throughput. </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 xml:space="preserve">How could a PBR mechanism be designed to achieve these objectives or outcomes? How should distributed generation be incorporated in a PBR mechanism? </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Evaluate the consistency of the proposed objectives or outcomes in response to question 23 with general PBR policy and structure.</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 xml:space="preserve">Evaluate the use of a PBR incentive mechanism with regards to the alternative mechanisms proposed to minimize cost shifting from potential bypass, such as pricing flexibility and exit fees/bypass charges.  </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What issues need to be resolved before a distributed generation PBR mechanism can be designed?</w:t>
      </w:r>
    </w:p>
    <w:p>
      <w:pPr>
        <w:pStyle w:val="Header"/>
        <w:widowControl/>
        <w:tabs>
          <w:tab w:val="clear" w:pos="4320"/>
          <w:tab w:val="clear" w:pos="8640"/>
        </w:tabs>
        <w:rPr>
          <w:rFonts w:ascii="Times New Roman" w:hAnsi="Times New Roman" w:cs="Times New Roman"/>
        </w:rPr>
      </w:pPr>
      <w:r>
        <w:rPr>
          <w:rFonts w:cs="Times New Roman" w:ascii="Times New Roman" w:hAnsi="Times New Roman"/>
        </w:rPr>
      </w:r>
    </w:p>
    <w:p>
      <w:pPr>
        <w:pStyle w:val="Heading1"/>
        <w:numPr>
          <w:ilvl w:val="0"/>
          <w:numId w:val="0"/>
        </w:numPr>
        <w:ind w:hanging="0" w:start="0"/>
        <w:rPr/>
      </w:pPr>
      <w:r>
        <w:rPr>
          <w:rFonts w:cs="Times New Roman" w:ascii="Times New Roman" w:hAnsi="Times New Roman"/>
          <w:u w:val="single"/>
        </w:rPr>
        <w:t>Public Purpose Program Funding</w:t>
      </w:r>
      <w:r>
        <w:rPr>
          <w:rFonts w:cs="Times New Roman" w:ascii="Times New Roman" w:hAnsi="Times New Roman"/>
        </w:rPr>
        <w:t>:</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If end-use customers install distributed generation, what is the impact to public purpose funding? How could rates be designed to ensure continued funding for public purpose programs?</w:t>
      </w:r>
    </w:p>
    <w:p>
      <w:pPr>
        <w:pStyle w:val="Heading1"/>
        <w:numPr>
          <w:ilvl w:val="0"/>
          <w:numId w:val="0"/>
        </w:numPr>
        <w:ind w:hanging="0" w:start="0"/>
        <w:rPr/>
      </w:pPr>
      <w:r>
        <w:rPr>
          <w:rFonts w:cs="Times New Roman" w:ascii="Times New Roman" w:hAnsi="Times New Roman"/>
          <w:u w:val="single"/>
        </w:rPr>
        <w:t>Localized or De-Averaged Rates</w:t>
      </w:r>
      <w:r>
        <w:rPr>
          <w:rFonts w:cs="Times New Roman" w:ascii="Times New Roman" w:hAnsi="Times New Roman"/>
        </w:rPr>
        <w:t>:</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 xml:space="preserve">Are localized or deaveraged rates appropriate in a competitive distributed generation market?  Discuss whether distribution service rates could be further disaggregated to provide for more localized or deaveraged rates for the distributed generation market.  For example, is it possible to use de-averaged credits or limited term localized rates to send more accurate pricing signals specifically to distributed generation customers without impacting existing rate design of other customers? Discuss whether and how </w:t>
      </w:r>
      <w:r>
        <w:br w:type="page"/>
      </w:r>
    </w:p>
    <w:p>
      <w:pPr>
        <w:pStyle w:val="standard"/>
        <w:spacing w:lineRule="auto" w:line="240" w:before="60" w:after="60"/>
        <w:ind w:hanging="0" w:end="0"/>
        <w:rPr>
          <w:rFonts w:ascii="Times New Roman" w:hAnsi="Times New Roman" w:cs="Times New Roman"/>
        </w:rPr>
      </w:pPr>
      <w:r>
        <w:rPr>
          <w:rFonts w:cs="Times New Roman" w:ascii="Times New Roman" w:hAnsi="Times New Roman"/>
        </w:rPr>
        <w:t>distribution service rates could provide an incentive mechanism for distributed generation in areas of high marginal cost.   Identify other rate mechanisms that provide clear signals to end users of the full costs of supplying their electric needs.</w:t>
      </w:r>
    </w:p>
    <w:p>
      <w:pPr>
        <w:pStyle w:val="Heading1"/>
        <w:numPr>
          <w:ilvl w:val="0"/>
          <w:numId w:val="0"/>
        </w:numPr>
        <w:ind w:hanging="0" w:start="0"/>
        <w:rPr/>
      </w:pPr>
      <w:r>
        <w:rPr>
          <w:rFonts w:cs="Times New Roman" w:ascii="Times New Roman" w:hAnsi="Times New Roman"/>
          <w:u w:val="single"/>
        </w:rPr>
        <w:t>Interconnection Costs</w:t>
      </w:r>
      <w:r>
        <w:rPr>
          <w:rFonts w:cs="Times New Roman" w:ascii="Times New Roman" w:hAnsi="Times New Roman"/>
        </w:rPr>
        <w:t>:</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What happens if a utility overhead line is fully depreciated and upgrades/replacements are needed for distributed generation interconnection.  Does the distributed generation customer pay for the upgrade/replacement cost?</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Should distributed generation customers be required to pay for distribution system upgrades that would have otherwise occurred in the absence of a distributed generation interconnection?</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Who pays for the costs of the interconnection study and how are such costs incorporated in rates?</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Should subsequent distributed generation customers on a particular feeder line be responsible for costs applied to the first distributed generation customer on a line?  If so, what type of crediting mechanism should be put in place for the first customer?</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What type of ratemaking approach should be used to recover interconnection costs (i.e. fixed vs. demand charges, marginal cost vs. average cost, etc)?</w:t>
      </w:r>
    </w:p>
    <w:p>
      <w:pPr>
        <w:pStyle w:val="standard"/>
        <w:numPr>
          <w:ilvl w:val="0"/>
          <w:numId w:val="4"/>
        </w:numPr>
        <w:spacing w:lineRule="auto" w:line="240" w:before="60" w:after="60"/>
        <w:rPr>
          <w:rFonts w:ascii="Times New Roman" w:hAnsi="Times New Roman" w:cs="Times New Roman"/>
        </w:rPr>
      </w:pPr>
      <w:r>
        <w:rPr>
          <w:rFonts w:cs="Times New Roman" w:ascii="Times New Roman" w:hAnsi="Times New Roman"/>
        </w:rPr>
        <w:t>Because of the "lumpy" nature of some distribution system upgrades, should a distributed generation customer pay for the "excess capacity" created by an upgrade necessitated by distributed generation but used by future customers? Should  customers using distributed generation for some or all of their local load be treated similarly for cost allocation purposes to a customer without distributed generation?</w:t>
      </w:r>
    </w:p>
    <w:p>
      <w:pPr>
        <w:pStyle w:val="Normal"/>
        <w:numPr>
          <w:ilvl w:val="0"/>
          <w:numId w:val="4"/>
        </w:numPr>
        <w:rPr>
          <w:sz w:val="24"/>
        </w:rPr>
      </w:pPr>
      <w:r>
        <w:rPr>
          <w:sz w:val="24"/>
        </w:rPr>
        <w:t>Should incremental charges assessed to distributed generation customers be adjusted during periods of utility-imposed curtailments?  For example, utility-imposed curtailments may affect the demand ratchet upon which the distributed generation customer’s demand charge is based.  How should any relevant adjustments be applied to distributed generation customers?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Palatino">
    <w:altName w:val="Book Antiqua"/>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0" w:hanging="0"/>
      </w:pPr>
    </w:lvl>
    <w:lvl w:ilvl="1">
      <w:start w:val="1"/>
      <w:pStyle w:val="Heading2"/>
      <w:numFmt w:val="lowerLetter"/>
      <w:lvlText w:val="%2."/>
      <w:lvlJc w:val="start"/>
      <w:pPr>
        <w:tabs>
          <w:tab w:val="num" w:pos="1080"/>
        </w:tabs>
        <w:ind w:start="720" w:hanging="0"/>
      </w:pPr>
      <w:rPr>
        <w:sz w:val="26"/>
        <w:i w:val="false"/>
        <w:b w:val="false"/>
        <w:rFonts w:ascii="Palatino;Book Antiqua" w:hAnsi="Palatino;Book Antiqua" w:cs="Palatino;Book Antiqua"/>
      </w:rPr>
    </w:lvl>
    <w:lvl w:ilvl="2">
      <w:start w:val="1"/>
      <w:pStyle w:val="Heading3"/>
      <w:numFmt w:val="decimal"/>
      <w:lvlText w:val="(%3)"/>
      <w:lvlJc w:val="start"/>
      <w:pPr>
        <w:tabs>
          <w:tab w:val="num" w:pos="1800"/>
        </w:tabs>
        <w:ind w:start="1440" w:hanging="0"/>
      </w:pPr>
    </w:lvl>
    <w:lvl w:ilvl="3">
      <w:start w:val="1"/>
      <w:pStyle w:val="Heading4"/>
      <w:numFmt w:val="decimal"/>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lowerLetter"/>
      <w:lvlText w:val="%1."/>
      <w:lvlJc w:val="start"/>
      <w:pPr>
        <w:tabs>
          <w:tab w:val="num" w:pos="2520"/>
        </w:tabs>
        <w:ind w:start="2520" w:hanging="360"/>
      </w:pPr>
      <w:rPr/>
    </w:lvl>
  </w:abstractNum>
  <w:abstractNum w:abstractNumId="4">
    <w:lvl w:ilvl="0">
      <w:start w:val="1"/>
      <w:numFmt w:val="decimal"/>
      <w:lvlText w:val="%1."/>
      <w:lvlJc w:val="start"/>
      <w:pPr>
        <w:tabs>
          <w:tab w:val="num" w:pos="432"/>
        </w:tabs>
        <w:ind w:start="432"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standard"/>
    <w:qFormat/>
    <w:pPr>
      <w:keepNext w:val="true"/>
      <w:numPr>
        <w:ilvl w:val="0"/>
        <w:numId w:val="1"/>
      </w:numPr>
      <w:spacing w:before="120" w:after="120"/>
      <w:outlineLvl w:val="0"/>
    </w:pPr>
    <w:rPr>
      <w:rFonts w:ascii="HELVETICA" w:hAnsi="HELVETICA" w:cs="HELVETICA"/>
      <w:b/>
      <w:kern w:val="2"/>
      <w:sz w:val="26"/>
      <w:lang w:eastAsia="en-US"/>
    </w:rPr>
  </w:style>
  <w:style w:type="paragraph" w:styleId="Heading2">
    <w:name w:val="heading 2"/>
    <w:basedOn w:val="Normal"/>
    <w:next w:val="Normal"/>
    <w:qFormat/>
    <w:pPr>
      <w:keepNext w:val="true"/>
      <w:numPr>
        <w:ilvl w:val="1"/>
        <w:numId w:val="1"/>
      </w:numPr>
      <w:spacing w:before="120" w:after="120"/>
      <w:outlineLvl w:val="1"/>
    </w:pPr>
    <w:rPr>
      <w:rFonts w:ascii="HELVETICA" w:hAnsi="HELVETICA" w:cs="HELVETICA"/>
      <w:b/>
      <w:i/>
      <w:sz w:val="26"/>
      <w:lang w:eastAsia="en-US"/>
    </w:rPr>
  </w:style>
  <w:style w:type="paragraph" w:styleId="Heading3">
    <w:name w:val="heading 3"/>
    <w:basedOn w:val="Normal"/>
    <w:next w:val="Normal"/>
    <w:qFormat/>
    <w:pPr>
      <w:keepNext w:val="true"/>
      <w:numPr>
        <w:ilvl w:val="2"/>
        <w:numId w:val="1"/>
      </w:numPr>
      <w:spacing w:before="120" w:after="120"/>
      <w:outlineLvl w:val="2"/>
    </w:pPr>
    <w:rPr>
      <w:rFonts w:ascii="HELVETICA" w:hAnsi="HELVETICA" w:cs="HELVETICA"/>
      <w:b/>
      <w:sz w:val="26"/>
      <w:lang w:eastAsia="en-US"/>
    </w:rPr>
  </w:style>
  <w:style w:type="paragraph" w:styleId="Heading4">
    <w:name w:val="heading 4"/>
    <w:basedOn w:val="Normal"/>
    <w:next w:val="Normal"/>
    <w:qFormat/>
    <w:pPr>
      <w:keepNext w:val="true"/>
      <w:numPr>
        <w:ilvl w:val="3"/>
        <w:numId w:val="1"/>
      </w:numPr>
      <w:spacing w:before="120" w:after="60"/>
      <w:outlineLvl w:val="3"/>
    </w:pPr>
    <w:rPr>
      <w:rFonts w:ascii="HELVETICA" w:hAnsi="HELVETICA" w:cs="HELVETICA"/>
      <w:b/>
      <w:i/>
      <w:sz w:val="26"/>
      <w:lang w:eastAsia="en-US"/>
    </w:rPr>
  </w:style>
  <w:style w:type="paragraph" w:styleId="Heading5">
    <w:name w:val="heading 5"/>
    <w:basedOn w:val="Normal"/>
    <w:next w:val="Normal"/>
    <w:qFormat/>
    <w:pPr>
      <w:numPr>
        <w:ilvl w:val="4"/>
        <w:numId w:val="1"/>
      </w:numPr>
      <w:spacing w:before="120" w:after="120"/>
      <w:outlineLvl w:val="4"/>
    </w:pPr>
    <w:rPr>
      <w:rFonts w:ascii="HELVETICA" w:hAnsi="HELVETICA" w:cs="HELVETICA"/>
      <w:b/>
      <w:sz w:val="26"/>
      <w:lang w:eastAsia="en-US"/>
    </w:rPr>
  </w:style>
  <w:style w:type="paragraph" w:styleId="Heading6">
    <w:name w:val="heading 6"/>
    <w:basedOn w:val="Normal"/>
    <w:next w:val="Normal"/>
    <w:qFormat/>
    <w:pPr>
      <w:keepNext w:val="true"/>
      <w:numPr>
        <w:ilvl w:val="5"/>
        <w:numId w:val="1"/>
      </w:numPr>
      <w:spacing w:lineRule="auto" w:line="360"/>
      <w:jc w:val="center"/>
      <w:outlineLvl w:val="5"/>
    </w:pPr>
    <w:rPr>
      <w:rFonts w:ascii="Palatino;Book Antiqua" w:hAnsi="Palatino;Book Antiqua" w:cs="Palatino;Book Antiqua"/>
      <w:sz w:val="26"/>
      <w:lang w:eastAsia="en-US"/>
    </w:rPr>
  </w:style>
  <w:style w:type="paragraph" w:styleId="Heading7">
    <w:name w:val="heading 7"/>
    <w:basedOn w:val="Normal"/>
    <w:next w:val="Normal"/>
    <w:qFormat/>
    <w:pPr>
      <w:numPr>
        <w:ilvl w:val="6"/>
        <w:numId w:val="1"/>
      </w:numPr>
      <w:spacing w:before="240" w:after="60"/>
      <w:outlineLvl w:val="6"/>
    </w:pPr>
    <w:rPr>
      <w:rFonts w:ascii="Arial" w:hAnsi="Arial" w:cs="Arial"/>
      <w:lang w:eastAsia="en-US"/>
    </w:rPr>
  </w:style>
  <w:style w:type="paragraph" w:styleId="Heading8">
    <w:name w:val="heading 8"/>
    <w:basedOn w:val="Normal"/>
    <w:next w:val="Normal"/>
    <w:qFormat/>
    <w:pPr>
      <w:numPr>
        <w:ilvl w:val="7"/>
        <w:numId w:val="1"/>
      </w:numPr>
      <w:spacing w:before="240" w:after="60"/>
      <w:outlineLvl w:val="7"/>
    </w:pPr>
    <w:rPr>
      <w:rFonts w:ascii="Arial" w:hAnsi="Arial" w:cs="Arial"/>
      <w:i/>
      <w:lang w:eastAsia="en-US"/>
    </w:rPr>
  </w:style>
  <w:style w:type="paragraph" w:styleId="Heading9">
    <w:name w:val="heading 9"/>
    <w:basedOn w:val="Normal"/>
    <w:next w:val="Normal"/>
    <w:qFormat/>
    <w:pPr>
      <w:numPr>
        <w:ilvl w:val="8"/>
        <w:numId w:val="1"/>
      </w:numPr>
      <w:spacing w:before="240" w:after="60"/>
      <w:outlineLvl w:val="8"/>
    </w:pPr>
    <w:rPr>
      <w:rFonts w:ascii="Arial" w:hAnsi="Arial" w:cs="Arial"/>
      <w:b/>
      <w:i/>
      <w:sz w:val="18"/>
      <w:lang w:eastAsia="en-US"/>
    </w:rPr>
  </w:style>
  <w:style w:type="character" w:styleId="WW8Num2z1">
    <w:name w:val="WW8Num2z1"/>
    <w:qFormat/>
    <w:rPr>
      <w:rFonts w:ascii="Palatino;Book Antiqua" w:hAnsi="Palatino;Book Antiqua" w:cs="Palatino;Book Antiqua"/>
      <w:b w:val="false"/>
      <w:i w:val="false"/>
      <w:sz w:val="26"/>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
    <w:name w:val="standard"/>
    <w:basedOn w:val="Normal"/>
    <w:qFormat/>
    <w:pPr>
      <w:spacing w:lineRule="auto" w:line="360"/>
      <w:ind w:firstLine="720" w:start="0" w:end="0"/>
    </w:pPr>
    <w:rPr>
      <w:rFonts w:ascii="Palatino;Book Antiqua" w:hAnsi="Palatino;Book Antiqua" w:cs="Palatino;Book Antiqua"/>
      <w:sz w:val="26"/>
      <w:lang w:eastAsia="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Palatino;Book Antiqua" w:hAnsi="Palatino;Book Antiqua" w:cs="Palatino;Book Antiqua"/>
      <w:sz w:val="26"/>
      <w:lang w:eastAsia="en-US"/>
    </w:rPr>
  </w:style>
  <w:style w:type="paragraph" w:styleId="BodyTextIndent">
    <w:name w:val="Body Text Indent"/>
    <w:basedOn w:val="Normal"/>
    <w:pPr/>
    <w:rPr>
      <w:rFonts w:ascii="Palatino;Book Antiqua" w:hAnsi="Palatino;Book Antiqua" w:cs="Palatino;Book Antiqua"/>
      <w:sz w:val="24"/>
      <w:lang w:eastAsia="en-US"/>
    </w:rPr>
  </w:style>
  <w:style w:type="paragraph" w:styleId="BodyText3">
    <w:name w:val="Body Text 3"/>
    <w:basedOn w:val="Normal"/>
    <w:qFormat/>
    <w:pPr/>
    <w:rPr>
      <w:rFonts w:ascii="Palatino;Book Antiqua" w:hAnsi="Palatino;Book Antiqua" w:cs="Palatino;Book Antiqua"/>
      <w:b/>
      <w:sz w:val="26"/>
      <w:u w:val="single"/>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2000-06-13T12:18:00Z</dcterms:created>
  <dc:creator>robert j. frank</dc:creator>
  <dc:description/>
  <dc:language>en-CA</dc:language>
  <cp:lastModifiedBy>robert j. frank</cp:lastModifiedBy>
  <dcterms:modified xsi:type="dcterms:W3CDTF">2000-06-13T12:21:00Z</dcterms:modified>
  <cp:revision>1</cp:revision>
  <dc:subject/>
  <dc:title>ATTACHMENT A</dc:title>
</cp:coreProperties>
</file>