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rFonts w:ascii="Times New Roman" w:hAnsi="Times New Roman" w:cs="Times New Roman"/>
          <w:b/>
          <w:sz w:val="20"/>
        </w:rPr>
      </w:pPr>
      <w:r>
        <w:rPr>
          <w:rFonts w:cs="Times New Roman" w:ascii="Times New Roman" w:hAnsi="Times New Roman"/>
          <w:b/>
          <w:sz w:val="20"/>
        </w:rPr>
      </w:r>
    </w:p>
    <w:p>
      <w:pPr>
        <w:pStyle w:val="BodyText"/>
        <w:rPr>
          <w:rFonts w:ascii="Times New Roman" w:hAnsi="Times New Roman" w:cs="Times New Roman"/>
          <w:sz w:val="20"/>
        </w:rPr>
      </w:pPr>
      <w:r>
        <w:rPr>
          <w:rFonts w:cs="Times New Roman" w:ascii="Times New Roman" w:hAnsi="Times New Roman"/>
          <w:sz w:val="20"/>
        </w:rPr>
      </w:r>
    </w:p>
    <w:p>
      <w:pPr>
        <w:pStyle w:val="BodyText"/>
        <w:jc w:val="center"/>
        <w:rPr>
          <w:rFonts w:ascii="Times New Roman" w:hAnsi="Times New Roman" w:cs="Times New Roman"/>
          <w:sz w:val="20"/>
        </w:rPr>
      </w:pPr>
      <w:r>
        <w:rPr>
          <w:rFonts w:cs="Times New Roman" w:ascii="Times New Roman" w:hAnsi="Times New Roman"/>
          <w:sz w:val="20"/>
        </w:rPr>
      </w:r>
    </w:p>
    <w:p>
      <w:pPr>
        <w:pStyle w:val="BodyText"/>
        <w:jc w:val="center"/>
        <w:rPr>
          <w:rFonts w:ascii="Times New Roman" w:hAnsi="Times New Roman" w:cs="Times New Roman"/>
          <w:sz w:val="20"/>
        </w:rPr>
      </w:pPr>
      <w:r>
        <w:rPr>
          <w:rFonts w:cs="Times New Roman" w:ascii="Times New Roman" w:hAnsi="Times New Roman"/>
          <w:sz w:val="20"/>
        </w:rPr>
        <w:t>June 26, 2001</w:t>
      </w:r>
    </w:p>
    <w:p>
      <w:pPr>
        <w:pStyle w:val="BodyText"/>
        <w:rPr>
          <w:rFonts w:ascii="Times New Roman" w:hAnsi="Times New Roman" w:cs="Times New Roman"/>
          <w:sz w:val="20"/>
        </w:rPr>
      </w:pPr>
      <w:r>
        <w:rPr>
          <w:rFonts w:cs="Times New Roman" w:ascii="Times New Roman" w:hAnsi="Times New Roman"/>
          <w:sz w:val="20"/>
        </w:rPr>
      </w:r>
    </w:p>
    <w:p>
      <w:pPr>
        <w:pStyle w:val="BodyText"/>
        <w:rPr>
          <w:rFonts w:ascii="Times New Roman" w:hAnsi="Times New Roman" w:cs="Times New Roman"/>
          <w:sz w:val="20"/>
        </w:rPr>
      </w:pPr>
      <w:r>
        <w:rPr>
          <w:rFonts w:cs="Times New Roman" w:ascii="Times New Roman" w:hAnsi="Times New Roman"/>
          <w:sz w:val="20"/>
        </w:rPr>
        <w:t>[customer name and address—merge sort]</w:t>
      </w:r>
    </w:p>
    <w:p>
      <w:pPr>
        <w:pStyle w:val="BodyText"/>
        <w:rPr>
          <w:rFonts w:ascii="Times New Roman" w:hAnsi="Times New Roman" w:cs="Times New Roman"/>
          <w:sz w:val="20"/>
        </w:rPr>
      </w:pPr>
      <w:r>
        <w:rPr>
          <w:rFonts w:cs="Times New Roman" w:ascii="Times New Roman" w:hAnsi="Times New Roman"/>
          <w:sz w:val="20"/>
        </w:rPr>
      </w:r>
    </w:p>
    <w:p>
      <w:pPr>
        <w:pStyle w:val="BodyText"/>
        <w:ind w:hanging="720" w:start="1440" w:end="0"/>
        <w:rPr/>
      </w:pPr>
      <w:r>
        <w:rPr>
          <w:rFonts w:cs="Times New Roman" w:ascii="Times New Roman" w:hAnsi="Times New Roman"/>
          <w:b/>
          <w:sz w:val="20"/>
        </w:rPr>
        <w:t>Re:</w:t>
        <w:tab/>
      </w:r>
      <w:r>
        <w:rPr>
          <w:rFonts w:cs="Times New Roman" w:ascii="Times New Roman" w:hAnsi="Times New Roman"/>
          <w:b/>
          <w:sz w:val="20"/>
          <w:u w:val="single"/>
        </w:rPr>
        <w:t>Extension of Your Energy Service Agreement (“Agreement”) with Enron Energy Services, Inc. (“Enron”)</w:t>
      </w:r>
    </w:p>
    <w:p>
      <w:pPr>
        <w:pStyle w:val="BodyText"/>
        <w:rPr>
          <w:rFonts w:ascii="Times New Roman" w:hAnsi="Times New Roman" w:cs="Times New Roman"/>
          <w:b/>
          <w:sz w:val="20"/>
          <w:u w:val="single"/>
        </w:rPr>
      </w:pPr>
      <w:r>
        <w:rPr>
          <w:rFonts w:cs="Times New Roman" w:ascii="Times New Roman" w:hAnsi="Times New Roman"/>
          <w:b/>
          <w:sz w:val="20"/>
          <w:u w:val="single"/>
        </w:rPr>
      </w:r>
    </w:p>
    <w:p>
      <w:pPr>
        <w:pStyle w:val="BodyText"/>
        <w:jc w:val="both"/>
        <w:rPr>
          <w:rFonts w:ascii="Times New Roman" w:hAnsi="Times New Roman" w:cs="Times New Roman"/>
          <w:sz w:val="20"/>
        </w:rPr>
      </w:pPr>
      <w:r>
        <w:rPr>
          <w:rFonts w:cs="Times New Roman" w:ascii="Times New Roman" w:hAnsi="Times New Roman"/>
          <w:sz w:val="20"/>
        </w:rPr>
        <w:t>Pending California Public Utilities Commission actions may result in the suspension of the California direct access program for customers who do not have contracts signed before July 1, 2001.  If these measures are implemented, it is likely that you would not be eligible to participate in the California retail energy market after the expiration of your Agreement with us.  To maintain flexibility, we have instructed your utility(ies) to move your accounts to our direct service.  Extending your Agreement with us beyond its scheduled expiration date may allow you to extend your participation in the California retail energy market.  Therefore, Enron is willing to offer you an extension to the Agreement on the following terms and conditions:</w:t>
      </w:r>
    </w:p>
    <w:p>
      <w:pPr>
        <w:pStyle w:val="Normal"/>
        <w:rPr>
          <w:rFonts w:ascii="Times New Roman" w:hAnsi="Times New Roman" w:cs="Times New Roman"/>
          <w:sz w:val="20"/>
        </w:rPr>
      </w:pPr>
      <w:r>
        <w:rPr>
          <w:rFonts w:cs="Times New Roman"/>
          <w:sz w:val="20"/>
        </w:rPr>
      </w:r>
    </w:p>
    <w:p>
      <w:pPr>
        <w:pStyle w:val="Normal"/>
        <w:numPr>
          <w:ilvl w:val="0"/>
          <w:numId w:val="1"/>
        </w:numPr>
        <w:jc w:val="both"/>
        <w:rPr/>
      </w:pPr>
      <w:r>
        <w:rPr/>
        <w:t xml:space="preserve">The term of the Agreement is extended through December 31, 2009.  Either party may cancel the extension of the Agreement (but not the remainder of the existing term of the Agreement) at any time after the execution of this amendment for any reason with no further obligation (including the payment of any early termination payment) by written notification to the other party at least sixty days prior to the desired cancellation date.  </w:t>
      </w:r>
    </w:p>
    <w:p>
      <w:pPr>
        <w:pStyle w:val="Normal"/>
        <w:rPr/>
      </w:pPr>
      <w:r>
        <w:rPr/>
      </w:r>
    </w:p>
    <w:p>
      <w:pPr>
        <w:pStyle w:val="Normal"/>
        <w:numPr>
          <w:ilvl w:val="0"/>
          <w:numId w:val="1"/>
        </w:numPr>
        <w:jc w:val="both"/>
        <w:rPr/>
      </w:pPr>
      <w:r>
        <w:rPr/>
        <w:t xml:space="preserve">The energy price for the extended term (i.e. beginning immediately upon the expiration of the existing Agreement) will be an index-based price for energy only, calculated using the applicable Dow Jones NP-15 or SP-15 Index (as applicable to each facility) as reported in </w:t>
      </w:r>
      <w:r>
        <w:rPr>
          <w:i/>
        </w:rPr>
        <w:t xml:space="preserve">The Wall Street Journal </w:t>
      </w:r>
      <w:r>
        <w:rPr/>
        <w:t xml:space="preserve">(or the replacement index thereto), plus a pass through of all charges associated with delivering the energy to the utility (e.g. ancillary services, uplifts, congestion, losses and other similar charges and fees).  In addition, you will be responsible for and pay all utility distribution and related charges; other charges and surcharges that apply to </w:t>
      </w:r>
      <w:r>
        <w:rPr>
          <w:color w:val="000000"/>
        </w:rPr>
        <w:t xml:space="preserve">direct access customers (e.g. rate recovery, energy procurement, system reliability, public purpose and similar types of charges and surcharges); fees relative to any future return to utility bundled service; and taxes. </w:t>
      </w:r>
    </w:p>
    <w:p>
      <w:pPr>
        <w:pStyle w:val="Normal"/>
        <w:rPr/>
      </w:pPr>
      <w:r>
        <w:rPr/>
      </w:r>
    </w:p>
    <w:p>
      <w:pPr>
        <w:pStyle w:val="BodyText2"/>
        <w:rPr/>
      </w:pPr>
      <w:r>
        <w:rPr>
          <w:sz w:val="20"/>
        </w:rPr>
        <w:t xml:space="preserve">If these terms are acceptable, please have an authorized signatory execute below on or before June 30, 2001 and return this amendment to Enron </w:t>
      </w:r>
      <w:r>
        <w:rPr>
          <w:b/>
          <w:sz w:val="20"/>
        </w:rPr>
        <w:t xml:space="preserve">postmarked or faxed no later than June 30, 2001 </w:t>
      </w:r>
      <w:r>
        <w:rPr>
          <w:sz w:val="20"/>
        </w:rPr>
        <w:t>to the address or fax number below. If you alter this amendment in any way, or if the return is not post marked or faxed by June 30, this amendment will be void.  The Agreement will be deemed amended to be consistent in all respects with the foregoing, but otherwise all terms and conditions of the Agreement will remain unchanged and in full force and effect.</w:t>
      </w:r>
    </w:p>
    <w:p>
      <w:pPr>
        <w:pStyle w:val="Normal"/>
        <w:rPr>
          <w:sz w:val="20"/>
        </w:rPr>
      </w:pPr>
      <w:r>
        <w:rPr>
          <w:sz w:val="20"/>
        </w:rPr>
      </w:r>
    </w:p>
    <w:p>
      <w:pPr>
        <w:pStyle w:val="Normal"/>
        <w:rPr/>
      </w:pPr>
      <w:r>
        <w:rPr/>
        <w:t>We will be contacting you to discuss this offer in greater detail, or you may contact us at (</w:t>
      </w:r>
      <w:r>
        <w:rPr>
          <w:color w:val="000000"/>
          <w:lang w:eastAsia="en-US"/>
        </w:rPr>
        <w:t>800) 337-7827.</w:t>
      </w:r>
    </w:p>
    <w:p>
      <w:pPr>
        <w:pStyle w:val="Normal"/>
        <w:rPr/>
      </w:pPr>
      <w:r>
        <w:rPr/>
      </w:r>
    </w:p>
    <w:p>
      <w:pPr>
        <w:pStyle w:val="Normal"/>
        <w:rPr/>
      </w:pPr>
      <w:r>
        <w:rPr/>
        <w:t>Sincerely,</w:t>
      </w:r>
    </w:p>
    <w:p>
      <w:pPr>
        <w:pStyle w:val="Normal"/>
        <w:rPr/>
      </w:pPr>
      <w:r>
        <w:rPr/>
        <w:tab/>
        <w:tab/>
        <w:tab/>
        <w:tab/>
        <w:tab/>
        <w:tab/>
        <w:tab/>
      </w:r>
      <w:r>
        <w:rPr>
          <w:b/>
        </w:rPr>
        <w:t>AGREED:</w:t>
      </w:r>
    </w:p>
    <w:tbl>
      <w:tblPr>
        <w:tblW w:w="10638" w:type="dxa"/>
        <w:jc w:val="start"/>
        <w:tblInd w:w="0" w:type="dxa"/>
        <w:tblLayout w:type="fixed"/>
        <w:tblCellMar>
          <w:top w:w="0" w:type="dxa"/>
          <w:start w:w="108" w:type="dxa"/>
          <w:bottom w:w="0" w:type="dxa"/>
          <w:end w:w="108" w:type="dxa"/>
        </w:tblCellMar>
      </w:tblPr>
      <w:tblGrid>
        <w:gridCol w:w="5148"/>
        <w:gridCol w:w="5490"/>
      </w:tblGrid>
      <w:tr>
        <w:trPr/>
        <w:tc>
          <w:tcPr>
            <w:tcW w:w="5148" w:type="dxa"/>
            <w:tcBorders/>
          </w:tcPr>
          <w:p>
            <w:pPr>
              <w:pStyle w:val="Normal"/>
              <w:rPr>
                <w:b/>
              </w:rPr>
            </w:pPr>
            <w:r>
              <w:rPr>
                <w:b/>
              </w:rPr>
              <w:t>ENRON ENERGY SERVICES, INC.</w:t>
            </w:r>
          </w:p>
          <w:p>
            <w:pPr>
              <w:pStyle w:val="Normal"/>
              <w:rPr>
                <w:b/>
              </w:rPr>
            </w:pPr>
            <w:r>
              <w:rPr>
                <w:b/>
              </w:rPr>
            </w:r>
          </w:p>
          <w:p>
            <w:pPr>
              <w:pStyle w:val="Normal"/>
              <w:rPr>
                <w:b/>
              </w:rPr>
            </w:pPr>
            <w:r>
              <w:rPr>
                <w:b/>
              </w:rPr>
            </w:r>
          </w:p>
          <w:p>
            <w:pPr>
              <w:pStyle w:val="Normal"/>
              <w:rPr>
                <w:b/>
              </w:rPr>
            </w:pPr>
            <w:r>
              <w:rPr>
                <w:b/>
              </w:rPr>
              <w:t>_______________________________</w:t>
            </w:r>
          </w:p>
        </w:tc>
        <w:tc>
          <w:tcPr>
            <w:tcW w:w="5490" w:type="dxa"/>
            <w:tcBorders/>
          </w:tcPr>
          <w:p>
            <w:pPr>
              <w:pStyle w:val="Normal"/>
              <w:rPr>
                <w:b/>
              </w:rPr>
            </w:pPr>
            <w:r>
              <w:rPr>
                <w:b/>
              </w:rPr>
              <w:t>[CUSTOMER NAME—merge]</w:t>
            </w:r>
          </w:p>
          <w:p>
            <w:pPr>
              <w:pStyle w:val="Normal"/>
              <w:rPr>
                <w:b/>
              </w:rPr>
            </w:pPr>
            <w:r>
              <w:rPr>
                <w:b/>
              </w:rPr>
            </w:r>
          </w:p>
          <w:p>
            <w:pPr>
              <w:pStyle w:val="Normal"/>
              <w:rPr/>
            </w:pPr>
            <w:r>
              <w:rPr/>
            </w:r>
          </w:p>
          <w:p>
            <w:pPr>
              <w:pStyle w:val="Normal"/>
              <w:rPr/>
            </w:pPr>
            <w:r>
              <w:rPr/>
              <w:t>________________________________</w:t>
            </w:r>
          </w:p>
        </w:tc>
      </w:tr>
      <w:tr>
        <w:trPr/>
        <w:tc>
          <w:tcPr>
            <w:tcW w:w="5148" w:type="dxa"/>
            <w:tcBorders/>
          </w:tcPr>
          <w:p>
            <w:pPr>
              <w:pStyle w:val="Normal"/>
              <w:rPr/>
            </w:pPr>
            <w:r>
              <w:rPr/>
              <w:t>Janet Dietrich</w:t>
            </w:r>
          </w:p>
        </w:tc>
        <w:tc>
          <w:tcPr>
            <w:tcW w:w="5490" w:type="dxa"/>
            <w:tcBorders/>
          </w:tcPr>
          <w:p>
            <w:pPr>
              <w:pStyle w:val="Normal"/>
              <w:rPr/>
            </w:pPr>
            <w:r>
              <w:rPr/>
              <w:t>Name: _____________________________</w:t>
            </w:r>
          </w:p>
        </w:tc>
      </w:tr>
      <w:tr>
        <w:trPr/>
        <w:tc>
          <w:tcPr>
            <w:tcW w:w="5148" w:type="dxa"/>
            <w:tcBorders/>
          </w:tcPr>
          <w:p>
            <w:pPr>
              <w:pStyle w:val="Normal"/>
              <w:rPr/>
            </w:pPr>
            <w:r>
              <w:rPr/>
              <w:t>President</w:t>
            </w:r>
          </w:p>
        </w:tc>
        <w:tc>
          <w:tcPr>
            <w:tcW w:w="5490" w:type="dxa"/>
            <w:tcBorders/>
          </w:tcPr>
          <w:p>
            <w:pPr>
              <w:pStyle w:val="Normal"/>
              <w:rPr/>
            </w:pPr>
            <w:r>
              <w:rPr/>
              <w:t>Title: _____________________________</w:t>
            </w:r>
          </w:p>
        </w:tc>
      </w:tr>
      <w:tr>
        <w:trPr/>
        <w:tc>
          <w:tcPr>
            <w:tcW w:w="5148" w:type="dxa"/>
            <w:tcBorders/>
          </w:tcPr>
          <w:p>
            <w:pPr>
              <w:pStyle w:val="Normal"/>
              <w:snapToGrid w:val="false"/>
              <w:rPr/>
            </w:pPr>
            <w:r>
              <w:rPr/>
            </w:r>
          </w:p>
        </w:tc>
        <w:tc>
          <w:tcPr>
            <w:tcW w:w="5490" w:type="dxa"/>
            <w:tcBorders/>
          </w:tcPr>
          <w:p>
            <w:pPr>
              <w:pStyle w:val="Normal"/>
              <w:rPr/>
            </w:pPr>
            <w:r>
              <w:rPr/>
              <w:t>Date: ___________________________</w:t>
            </w:r>
          </w:p>
        </w:tc>
      </w:tr>
    </w:tbl>
    <w:p>
      <w:pPr>
        <w:pStyle w:val="Normal"/>
        <w:rPr/>
      </w:pPr>
      <w:r>
        <w:rPr/>
      </w:r>
    </w:p>
    <w:p>
      <w:pPr>
        <w:pStyle w:val="Normal"/>
        <w:rPr>
          <w:b/>
        </w:rPr>
      </w:pPr>
      <w:r>
        <w:rPr>
          <w:b/>
        </w:rPr>
      </w:r>
    </w:p>
    <w:p>
      <w:pPr>
        <w:pStyle w:val="Normal"/>
        <w:rPr>
          <w:b/>
        </w:rPr>
      </w:pPr>
      <w:r>
        <w:rPr>
          <w:b/>
        </w:rPr>
        <w:t>RETURN EXECUTED AMENDMENT TO:</w:t>
      </w:r>
    </w:p>
    <w:p>
      <w:pPr>
        <w:pStyle w:val="Normal"/>
        <w:rPr>
          <w:b/>
        </w:rPr>
      </w:pPr>
      <w:r>
        <w:rPr>
          <w:b/>
        </w:rPr>
      </w:r>
    </w:p>
    <w:p>
      <w:pPr>
        <w:pStyle w:val="Normal"/>
        <w:rPr/>
      </w:pPr>
      <w:r>
        <w:rPr/>
        <w:t>Enron Energy Services, Inc.</w:t>
      </w:r>
    </w:p>
    <w:p>
      <w:pPr>
        <w:pStyle w:val="Normal"/>
        <w:rPr/>
      </w:pPr>
      <w:r>
        <w:rPr/>
        <w:t>1400 Smith Street</w:t>
      </w:r>
    </w:p>
    <w:p>
      <w:pPr>
        <w:pStyle w:val="Normal"/>
        <w:rPr/>
      </w:pPr>
      <w:r>
        <w:rPr/>
        <w:t>Houston, TX 77002</w:t>
      </w:r>
    </w:p>
    <w:p>
      <w:pPr>
        <w:pStyle w:val="Normal"/>
        <w:rPr/>
      </w:pPr>
      <w:r>
        <w:rPr/>
        <w:t>Attn: Kevin Keeney, EB 890</w:t>
      </w:r>
    </w:p>
    <w:p>
      <w:pPr>
        <w:pStyle w:val="Normal"/>
        <w:rPr/>
      </w:pPr>
      <w:r>
        <w:rPr/>
        <w:t>Toll Free Fax No.: (</w:t>
      </w:r>
      <w:r>
        <w:rPr>
          <w:color w:val="000000"/>
          <w:lang w:eastAsia="en-US"/>
        </w:rPr>
        <w:t>800) 337-9155</w:t>
      </w:r>
    </w:p>
    <w:sectPr>
      <w:type w:val="nextPage"/>
      <w:pgSz w:w="12240" w:h="15840"/>
      <w:pgMar w:left="864" w:right="864"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2001-06-22T18:03:00Z</dcterms:created>
  <dc:creator>Enron</dc:creator>
  <dc:description/>
  <dc:language>en-CA</dc:language>
  <cp:lastModifiedBy>msmith2</cp:lastModifiedBy>
  <cp:lastPrinted>2001-06-22T16:24:00Z</cp:lastPrinted>
  <dcterms:modified xsi:type="dcterms:W3CDTF">2001-06-22T19:47:00Z</dcterms:modified>
  <cp:revision>13</cp:revision>
  <dc:subject/>
  <dc:title>Dear Valued Customer:</dc:title>
</cp:coreProperties>
</file>