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outline/>
          <w:shadow/>
        </w:rPr>
      </w:pPr>
      <w:r>
        <w:rPr>
          <w:outline/>
          <w:shadow/>
          <w:sz w:val="20"/>
        </w:rPr>
        <mc:AlternateContent>
          <mc:Choice Requires="wps">
            <w:drawing>
              <wp:anchor behindDoc="0" distT="0" distB="0" distL="114935" distR="114935" simplePos="0" locked="0" layoutInCell="1" allowOverlap="1" relativeHeight="8">
                <wp:simplePos x="0" y="0"/>
                <wp:positionH relativeFrom="column">
                  <wp:posOffset>4891405</wp:posOffset>
                </wp:positionH>
                <wp:positionV relativeFrom="paragraph">
                  <wp:posOffset>-914400</wp:posOffset>
                </wp:positionV>
                <wp:extent cx="3201035" cy="92075"/>
                <wp:effectExtent l="0" t="0" r="0" b="0"/>
                <wp:wrapNone/>
                <wp:docPr id="1" name=""/>
                <a:graphic xmlns:a="http://schemas.openxmlformats.org/drawingml/2006/main">
                  <a:graphicData uri="http://schemas.microsoft.com/office/word/2010/wordprocessingShape">
                    <wps:wsp>
                      <wps:cNvSpPr/>
                      <wps:spPr>
                        <a:xfrm flipH="1">
                          <a:off x="0" y="0"/>
                          <a:ext cx="3201120" cy="92160"/>
                        </a:xfrm>
                        <a:prstGeom prst="line">
                          <a:avLst/>
                        </a:prstGeom>
                        <a:ln w="0">
                          <a:noFill/>
                        </a:ln>
                      </wps:spPr>
                      <wps:style>
                        <a:lnRef idx="0"/>
                        <a:fillRef idx="0"/>
                        <a:effectRef idx="0"/>
                        <a:fontRef idx="minor"/>
                      </wps:style>
                      <wps:bodyPr/>
                    </wps:wsp>
                  </a:graphicData>
                </a:graphic>
              </wp:anchor>
            </w:drawing>
          </mc:Choice>
          <mc:Fallback>
            <w:pict>
              <v:line id="shape_0" from="385.15pt,-72pt" to="637.15pt,-64.8pt" stroked="f" o:allowincell="f" style="position:absolute;flip:x">
                <v:stroke color="#3465a4" joinstyle="round" endcap="flat"/>
                <v:fill o:detectmouseclick="t" on="false"/>
                <w10:wrap type="none"/>
              </v:line>
            </w:pict>
          </mc:Fallback>
        </mc:AlternateContent>
        <w:drawing>
          <wp:inline distT="0" distB="0" distL="0" distR="0">
            <wp:extent cx="2635885" cy="1154430"/>
            <wp:effectExtent l="0" t="0" r="10160" b="1016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2646045" cy="1164590"/>
                    </a:xfrm>
                    <a:prstGeom prst="rect">
                      <a:avLst/>
                    </a:prstGeom>
                    <a:noFill/>
                    <a:ln w="9525">
                      <a:solidFill>
                        <a:srgbClr val="000000"/>
                      </a:solidFill>
                    </a:ln>
                    <a:effectLst>
                      <a:outerShdw dist="13970" dir="2700000">
                        <a:srgbClr val="000000"/>
                      </a:outerShdw>
                    </a:effectLst>
                  </pic:spPr>
                </pic:pic>
              </a:graphicData>
            </a:graphic>
          </wp:inline>
        </w:drawing>
      </w:r>
    </w:p>
    <w:p>
      <w:pPr>
        <w:pStyle w:val="Normal"/>
        <w:jc w:val="center"/>
        <w:rPr>
          <w:b/>
          <w:outline/>
          <w:shadow/>
        </w:rPr>
      </w:pPr>
      <w:r>
        <w:rPr>
          <w:b/>
          <w:outline/>
          <w:shadow/>
        </w:rPr>
      </w:r>
    </w:p>
    <w:p>
      <w:pPr>
        <w:pStyle w:val="Normal"/>
        <w:rPr/>
      </w:pPr>
      <w:r>
        <w:rPr/>
        <w:t>TO:</w:t>
        <w:tab/>
        <w:tab/>
        <w:t>Jeff Dasovich</w:t>
      </w:r>
    </w:p>
    <w:p>
      <w:pPr>
        <w:pStyle w:val="Normal"/>
        <w:numPr>
          <w:ilvl w:val="0"/>
          <w:numId w:val="0"/>
        </w:numPr>
        <w:outlineLvl w:val="0"/>
        <w:rPr/>
      </w:pPr>
      <w:r>
        <w:rPr/>
        <w:t>FROM:</w:t>
        <w:tab/>
        <w:t>Anita Taff-Rice</w:t>
      </w:r>
    </w:p>
    <w:p>
      <w:pPr>
        <w:pStyle w:val="Normal"/>
        <w:rPr/>
      </w:pPr>
      <w:r>
        <w:rPr/>
        <w:t>RE:</w:t>
        <w:tab/>
        <w:tab/>
        <w:t>Overview of Rights and Responsibilities of California NDIECs and CLCs</w:t>
      </w:r>
    </w:p>
    <w:p>
      <w:pPr>
        <w:pStyle w:val="Normal"/>
        <w:rPr/>
      </w:pPr>
      <w:r>
        <w:rPr/>
        <w:t>DATE:</w:t>
        <w:tab/>
        <w:tab/>
        <w:t>August 23, 2000</w:t>
      </w:r>
    </w:p>
    <w:p>
      <w:pPr>
        <w:pStyle w:val="Normal"/>
        <w:rPr/>
      </w:pPr>
      <w:r>
        <w:rPr/>
      </w:r>
    </w:p>
    <w:p>
      <w:pPr>
        <w:pStyle w:val="Normal"/>
        <w:pBdr>
          <w:top w:val="single" w:sz="4" w:space="1" w:color="000000"/>
        </w:pBdr>
        <w:rPr/>
      </w:pPr>
      <w:r>
        <w:rPr/>
      </w:r>
    </w:p>
    <w:p>
      <w:pPr>
        <w:pStyle w:val="BodyText"/>
        <w:rPr/>
      </w:pPr>
      <w:r>
        <w:rPr/>
        <w:t>As you requested, below is an overview of the rights and responsibilities of competitive local exchange carriers (“CLCs”) and non-dominant exchange carriers (“NDIECs”) authorized to do business in California.  The information is not intended to be exhaustive; thus, if you have any questions or would like additional information on any particular issue, please let us know.</w:t>
      </w:r>
    </w:p>
    <w:p>
      <w:pPr>
        <w:pStyle w:val="Heading2"/>
        <w:ind w:hanging="0" w:start="0"/>
        <w:rPr/>
      </w:pPr>
      <w:r>
        <w:rPr/>
        <w:t>I.</w:t>
        <w:tab/>
        <w:t>GENERAL BACKGROUND</w:t>
      </w:r>
    </w:p>
    <w:p>
      <w:pPr>
        <w:pStyle w:val="BodyText"/>
        <w:rPr/>
      </w:pPr>
      <w:r>
        <w:rPr/>
        <w:t>California is divided into 10 Local Access and Transport Areas (“LATAs”), each containing numerous local telephone exchanges.  “InterLATA” describes telecommunications services that originate in one LATA and terminate in another LATA.  “IntraLATA” describes services that originate and terminate within the same LATA.  Enron has applied for the authority to provide both intraLATA and interLATA services.</w:t>
      </w:r>
    </w:p>
    <w:p>
      <w:pPr>
        <w:pStyle w:val="Heading3"/>
        <w:ind w:hanging="0" w:start="0"/>
        <w:rPr/>
      </w:pPr>
      <w:r>
        <w:rPr/>
        <w:t>A</w:t>
        <w:tab/>
        <w:t>Non-Dominant Exchange Carriers (“NDIECs”)</w:t>
      </w:r>
    </w:p>
    <w:p>
      <w:pPr>
        <w:pStyle w:val="BodyText"/>
        <w:rPr/>
      </w:pPr>
      <w:r>
        <w:rPr/>
        <w:t>NDIECs are telephone corporations without monopoly or market power (i.e., everyone except for AT&amp;T) which have received authority to provide long distance services between LATAs through resale and/or via their own facilities.  Under the Commission’s current rules, NDIECs that provide services over their own facilities must obtain approval for each proposed project under the California Environmental Quality Act (“CEQA”). (Decision 99</w:t>
        <w:noBreakHyphen/>
        <w:t>10-025).</w:t>
      </w:r>
    </w:p>
    <w:p>
      <w:pPr>
        <w:pStyle w:val="Heading3"/>
        <w:ind w:hanging="0" w:start="0"/>
        <w:rPr/>
      </w:pPr>
      <w:r>
        <w:rPr/>
        <w:t>B.</w:t>
        <w:tab/>
        <w:t>Competitive Local Exchange Carriers (“CLC”)</w:t>
      </w:r>
    </w:p>
    <w:p>
      <w:pPr>
        <w:pStyle w:val="BodyText"/>
        <w:rPr/>
      </w:pPr>
      <w:r>
        <w:rPr/>
        <w:t>CLCs are authorized to provide intraLATA telecommunication services either through resale or via their own facilities.  Due to recent changes in the Commission’s rules concerning CEQA requirements, there are now two separate CLC authorities depending on whether a carrier plans to provide services via existing facilities or plans to construct new facilities.  Under the current rules, the Commission must undertake a thorough and comprehensive review of the environmental consequences and establish mitigation measures for projects proposed by CLCs that plan to build their own facilities in order to provide services.  CLCs that receive such approval have what is commonly called full facilities-based authority.  For those carriers, such as Enron, planning to use existing facilities to provide services, the Commission may grant limited facilities-based authority.  Under the limited facilities-based authority, a CLC may not engage in any construction of buildings, towers, conduits, or trenches.  Should such a CLC decide to engage in the construction of facilities, it must first apply to expand its limited facilities-based authority, submit an Environmental Assessment, and undergo a CEQA review by the Commission.  (Decision 99-10-025).</w:t>
      </w:r>
    </w:p>
    <w:p>
      <w:pPr>
        <w:pStyle w:val="BodyText"/>
        <w:rPr/>
      </w:pPr>
      <w:r>
        <w:rPr/>
        <w:t>In addition, CLCs must enter into interconnection agreements with local incumbent carriers in order to provide local exchange services.  These agreements are subject to Commission approval.  Expedited dispute resolution procedures are available through the Commission to address disputes concerning interconnection arrangements.  As you are aware, we are in the process of assisting Enron in obtaining an interconnection agreement in California. (Decision 95-12-056).</w:t>
      </w:r>
    </w:p>
    <w:p>
      <w:pPr>
        <w:pStyle w:val="Heading2"/>
        <w:ind w:hanging="0" w:start="0"/>
        <w:rPr/>
      </w:pPr>
      <w:r>
        <w:rPr/>
        <w:t>II.</w:t>
        <w:tab/>
        <w:t xml:space="preserve">TARIFF REQUIREMENTS </w:t>
      </w:r>
    </w:p>
    <w:p>
      <w:pPr>
        <w:pStyle w:val="BodyText"/>
        <w:rPr/>
      </w:pPr>
      <w:r>
        <w:rPr/>
        <w:t>CLCs are required to file tariffs with the Commission, providing service descriptions and pricing.  Unless affiliated with a CLC or an incumbent carrier, NDIECs are exempt from the tariff filing requirements.  A tariff is the contract between the carrier and its customers, and as such must be kept updated and available for public inspection at the carrier’s principle place of business in California.  Enron’s tariffs will become effective once the provisions listed in Appendix B of the Opinion granting Enron’s CPCN are incorporated into its tariffs.  Once filed, Enron will have tariffs covering local, access and interexchange services in California.  (Decisions 95-07-054, 95-12-056 and 97-06-107).</w:t>
      </w:r>
    </w:p>
    <w:p>
      <w:pPr>
        <w:pStyle w:val="BodyText"/>
        <w:rPr/>
      </w:pPr>
      <w:r>
        <w:rPr/>
        <w:t xml:space="preserve">Carriers offering telecommunication services on Individual Case Basis (“ICB”), </w:t>
      </w:r>
      <w:r>
        <w:rPr>
          <w:i/>
          <w:iCs/>
        </w:rPr>
        <w:t>i.e</w:t>
      </w:r>
      <w:r>
        <w:rPr/>
        <w:t>. services that vary from that provided in the tariff and agreed to between the customer and the carrier under contract, are subject to specific consumer rules.  All such “solicitations” by carriers or their agents must be “plainly stated” in understandable language, and must be in the same language as when the carrier negotiated the contract with the customer.  In addition, all “promotional and marketing” materials used in the offering of these detariffed services must be separate from the written customer contract.  Carriers are required to file ICB contracts with the Commission under the Advice Letter process described below.  (Decision 98</w:t>
        <w:noBreakHyphen/>
        <w:t>08</w:t>
        <w:noBreakHyphen/>
        <w:t xml:space="preserve">031). </w:t>
      </w:r>
    </w:p>
    <w:p>
      <w:pPr>
        <w:pStyle w:val="BodyText"/>
        <w:rPr/>
      </w:pPr>
      <w:r>
        <w:rPr/>
        <w:t>Before adding or eliminating services, modifying any terms and conditions, or changing rates provided in a tariff, carriers must file an Advice Letter, with the proposed tariff changes attached, at the Commission.  The effect date of tariff changes will vary depending upon the type of change filed.  Changes to CLC and NDIEC tariffs are effective as follows (Decisions 95-12-056, 90-08-032, 91-12-013, and 92-06-034):</w:t>
      </w:r>
    </w:p>
    <w:p>
      <w:pPr>
        <w:pStyle w:val="Normal"/>
        <w:numPr>
          <w:ilvl w:val="0"/>
          <w:numId w:val="10"/>
        </w:numPr>
        <w:rPr/>
      </w:pPr>
      <w:r>
        <w:rPr/>
        <w:t>Uniform rate reductions become effective 5 business days after filing.</w:t>
      </w:r>
    </w:p>
    <w:p>
      <w:pPr>
        <w:pStyle w:val="Normal"/>
        <w:numPr>
          <w:ilvl w:val="0"/>
          <w:numId w:val="10"/>
        </w:numPr>
        <w:rPr/>
      </w:pPr>
      <w:r>
        <w:rPr/>
        <w:t>Uniform major rate increases become effective 30 days after filing and require at least 30 days notice to customers.</w:t>
      </w:r>
    </w:p>
    <w:p>
      <w:pPr>
        <w:pStyle w:val="Normal"/>
        <w:numPr>
          <w:ilvl w:val="0"/>
          <w:numId w:val="10"/>
        </w:numPr>
        <w:rPr/>
      </w:pPr>
      <w:r>
        <w:rPr/>
        <w:t>Uniform minor rate increases become effective 5 business days after filing.</w:t>
      </w:r>
    </w:p>
    <w:p>
      <w:pPr>
        <w:pStyle w:val="Normal"/>
        <w:numPr>
          <w:ilvl w:val="0"/>
          <w:numId w:val="10"/>
        </w:numPr>
        <w:rPr/>
      </w:pPr>
      <w:r>
        <w:rPr/>
        <w:t>Revisions to text or its location within the tariff that do not result in an increase or change become effective 5 days after filing.</w:t>
      </w:r>
    </w:p>
    <w:p>
      <w:pPr>
        <w:pStyle w:val="Normal"/>
        <w:numPr>
          <w:ilvl w:val="0"/>
          <w:numId w:val="10"/>
        </w:numPr>
        <w:rPr/>
      </w:pPr>
      <w:r>
        <w:rPr/>
        <w:t>New services and all other types of revisions become effective 40 days after filing.</w:t>
      </w:r>
    </w:p>
    <w:p>
      <w:pPr>
        <w:pStyle w:val="Normal"/>
        <w:numPr>
          <w:ilvl w:val="0"/>
          <w:numId w:val="10"/>
        </w:numPr>
        <w:rPr/>
      </w:pPr>
      <w:r>
        <w:rPr/>
        <w:t>For NDIECs, FCC-approved rates for interstate services contained in California tariffs become effective 1 day after filing.</w:t>
      </w:r>
    </w:p>
    <w:p>
      <w:pPr>
        <w:pStyle w:val="Normal"/>
        <w:rPr/>
      </w:pPr>
      <w:r>
        <w:rPr/>
      </w:r>
    </w:p>
    <w:p>
      <w:pPr>
        <w:pStyle w:val="Heading2"/>
        <w:ind w:hanging="0" w:start="0"/>
        <w:rPr/>
      </w:pPr>
      <w:r>
        <w:rPr/>
        <w:t>III.</w:t>
        <w:tab/>
        <w:t>CONSUMER PROTECTION RULES</w:t>
      </w:r>
    </w:p>
    <w:p>
      <w:pPr>
        <w:pStyle w:val="BodyText"/>
        <w:rPr/>
      </w:pPr>
      <w:r>
        <w:rPr/>
        <w:t>The Commission requires CLCs to incorporate the Commission’s Consumer Protection Rules within their tariff, and requires NDIECs to comply with specific provisions of these rules.  The Consumer Protection Rules establish rules for dealing with both residential and business consumers, and cover billing, billing disputes, notices to consumers, anti-slamming, use and disclosure of customer information, and consumer deposits.  We have already incorporated the required Consumer Protection Rules into your local and intrastate tariffs.  (Decisions 95-07-054, 95-04-043 and 98-08-031).</w:t>
      </w:r>
    </w:p>
    <w:p>
      <w:pPr>
        <w:pStyle w:val="BodyText"/>
        <w:rPr/>
      </w:pPr>
      <w:r>
        <w:rPr/>
        <w:t>The following is a list of some of the Consumer Protection Rules that Enron is responsible for complying with (Decisions 98-08-031, 95-07-054, and 95-04-043):</w:t>
      </w:r>
    </w:p>
    <w:p>
      <w:pPr>
        <w:pStyle w:val="Normal"/>
        <w:numPr>
          <w:ilvl w:val="0"/>
          <w:numId w:val="5"/>
        </w:numPr>
        <w:rPr/>
      </w:pPr>
      <w:r>
        <w:rPr/>
        <w:t xml:space="preserve">A carrier must provide rate information and service terms and conditions in writing upon customer request. </w:t>
      </w:r>
    </w:p>
    <w:p>
      <w:pPr>
        <w:pStyle w:val="Normal"/>
        <w:numPr>
          <w:ilvl w:val="0"/>
          <w:numId w:val="5"/>
        </w:numPr>
        <w:rPr/>
      </w:pPr>
      <w:r>
        <w:rPr/>
        <w:t>The carrier must provide customer written notice a minimum of 7 days before terminating service, and provide a refund of deposits within 30 days after service termination.</w:t>
      </w:r>
    </w:p>
    <w:p>
      <w:pPr>
        <w:pStyle w:val="Normal"/>
        <w:numPr>
          <w:ilvl w:val="0"/>
          <w:numId w:val="7"/>
        </w:numPr>
        <w:rPr/>
      </w:pPr>
      <w:r>
        <w:rPr/>
        <w:t>Changing a customer’s presubscribed telephone service provider without the customer’s authorization, commonly known as “slamming,” is a violation of law and may subject the carrier to significant fines and penalties.</w:t>
      </w:r>
    </w:p>
    <w:p>
      <w:pPr>
        <w:pStyle w:val="Normal"/>
        <w:numPr>
          <w:ilvl w:val="0"/>
          <w:numId w:val="8"/>
        </w:numPr>
        <w:rPr/>
      </w:pPr>
      <w:r>
        <w:rPr/>
        <w:t>Once a customer terminates service, the carrier must receive “express consent” before re-establishing service.</w:t>
      </w:r>
    </w:p>
    <w:p>
      <w:pPr>
        <w:pStyle w:val="Normal"/>
        <w:numPr>
          <w:ilvl w:val="0"/>
          <w:numId w:val="8"/>
        </w:numPr>
        <w:rPr/>
      </w:pPr>
      <w:r>
        <w:rPr/>
        <w:t xml:space="preserve">Bills to customers must prominently display a toll free number for service or billing questions, along with an address for reaching the carrier.  There are also specific procedures in the case of a billing dispute. </w:t>
      </w:r>
    </w:p>
    <w:p>
      <w:pPr>
        <w:pStyle w:val="Normal"/>
        <w:numPr>
          <w:ilvl w:val="0"/>
          <w:numId w:val="6"/>
        </w:numPr>
        <w:rPr/>
      </w:pPr>
      <w:r>
        <w:rPr/>
        <w:t>Carriers cannot release nonpublic customer information, including the calling records and credit information of either residential or business customers.</w:t>
      </w:r>
    </w:p>
    <w:p>
      <w:pPr>
        <w:pStyle w:val="Normal"/>
        <w:numPr>
          <w:ilvl w:val="0"/>
          <w:numId w:val="6"/>
        </w:numPr>
        <w:rPr/>
      </w:pPr>
      <w:r>
        <w:rPr/>
        <w:t>Carriers must follow specific requirements for notices to customers, customer deposits, and change of ownership.</w:t>
      </w:r>
    </w:p>
    <w:p>
      <w:pPr>
        <w:pStyle w:val="Normal"/>
        <w:rPr/>
      </w:pPr>
      <w:r>
        <w:rPr/>
      </w:r>
    </w:p>
    <w:p>
      <w:pPr>
        <w:pStyle w:val="BodyText"/>
        <w:rPr/>
      </w:pPr>
      <w:r>
        <w:rPr/>
        <w:t>The California Legislature has recently taken a keen interest in consumer rights, and the Commission has an ongoing proceeding in R.00-02-004 to promulgate a new “Consumer Bill of Rights” for telecommunications services.</w:t>
      </w:r>
    </w:p>
    <w:p>
      <w:pPr>
        <w:pStyle w:val="Heading2"/>
        <w:ind w:hanging="0" w:start="0"/>
        <w:rPr/>
      </w:pPr>
      <w:r>
        <w:rPr/>
        <w:t>IV.</w:t>
        <w:tab/>
        <w:t>REPORTING REQUIREMENTS</w:t>
      </w:r>
    </w:p>
    <w:p>
      <w:pPr>
        <w:pStyle w:val="BodyText"/>
        <w:rPr/>
      </w:pPr>
      <w:r>
        <w:rPr/>
        <w:t>Enron, as a regulated CLC and NDIEC in California, will have reporting requirements under the Rules of the Commission.  Enron must file an annual report providing the Commission with the information listed in Appendix A of the Opinion granting Enron its CPCN.  (General Order 104-A.)  Enron must also file the reports list below.</w:t>
      </w:r>
    </w:p>
    <w:p>
      <w:pPr>
        <w:pStyle w:val="Heading2"/>
        <w:ind w:hanging="0" w:start="0"/>
        <w:rPr/>
      </w:pPr>
      <w:r>
        <w:rPr/>
        <w:t>A.</w:t>
        <w:tab/>
        <w:t>Service Outage Reports</w:t>
      </w:r>
    </w:p>
    <w:p>
      <w:pPr>
        <w:pStyle w:val="BodyText"/>
        <w:rPr/>
      </w:pPr>
      <w:r>
        <w:rPr/>
        <w:t>If any significant service outage occurs, CLCs must report such “major” service outages to the Commission within a month.  The report must describe the nature of the outage, including where, when, and how long it lasted.  There is no set definition of what constitutes a “major” service outage.  However, Enron should use a reasonableness standard, i.e. would a reasonable regulator consider the outage to be a major outage.  (Decision 96-02-072).</w:t>
      </w:r>
    </w:p>
    <w:p>
      <w:pPr>
        <w:pStyle w:val="Heading2"/>
        <w:ind w:hanging="0" w:start="0"/>
        <w:rPr/>
      </w:pPr>
      <w:r>
        <w:rPr/>
        <w:t>B.</w:t>
        <w:tab/>
        <w:t>Monthly Surcharge Remittance</w:t>
      </w:r>
    </w:p>
    <w:p>
      <w:pPr>
        <w:pStyle w:val="BodyText"/>
        <w:rPr/>
      </w:pPr>
      <w:r>
        <w:rPr/>
        <w:t xml:space="preserve">As a CLC, Enron is responsible for collecting a number of surcharges in California, including: Universal Lifeline Telephone Service (ULTS), California Relay Service and Communications Devices, California High Cost Fund A (CHCF-A), California High Cost Fund B (CHCF-B), and California Teleconnect Fund (CTF).  Enron must remit surcharges within 40 days after the end of the billing month unless a de minims amount of revenue is billed, unless the average intrastate revenue subject to the surcharge is less than $10,000 per month.  For all January billings carriers should report and remit surcharges by March 10.  </w:t>
      </w:r>
    </w:p>
    <w:p>
      <w:pPr>
        <w:pStyle w:val="BodyText"/>
        <w:rPr/>
      </w:pPr>
      <w:r>
        <w:rPr/>
        <w:t xml:space="preserve">Enron is also responsible for collecting and remitting the surcharge for 911emergency service.  Every provider of intrastate communication services in California must register with and remit 911 surcharges to the California State Board of Equalization.  </w:t>
      </w:r>
    </w:p>
    <w:p>
      <w:pPr>
        <w:pStyle w:val="Heading2"/>
        <w:ind w:hanging="0" w:start="0"/>
        <w:rPr/>
      </w:pPr>
      <w:r>
        <w:rPr/>
        <w:t>C.</w:t>
        <w:tab/>
        <w:t>Monthly Standards Report</w:t>
      </w:r>
    </w:p>
    <w:p>
      <w:pPr>
        <w:pStyle w:val="BodyText"/>
        <w:rPr/>
      </w:pPr>
      <w:r>
        <w:rPr/>
        <w:t>In General Order 133B, the Commission has established standards of service and service measures as well as record and reporting requirements.  Reports must be made to the Commission on a quarterly basis of all categories of services not meeting the Commission’s established service levels in any month during the quarter.  Reporting categories cover: exchange, plant installation center, central office entity, wire center, traffic office, trouble report service office, and business office.  Monthly summaries of held service orders by reporting unit must be filed with the Commission quarterly.  Reports must be filed within 30 days of the end of the quarter (e.g., by April 30 for first quarter of the year).  General Order 133B provides exemplars for Reports on Service Measures and for Held Primary Service Orders Reports.</w:t>
      </w:r>
    </w:p>
    <w:p>
      <w:pPr>
        <w:pStyle w:val="Heading2"/>
        <w:ind w:hanging="0" w:start="0"/>
        <w:rPr/>
      </w:pPr>
      <w:r>
        <w:rPr/>
        <w:t>D.</w:t>
        <w:tab/>
        <w:t>Customer Notice Reports</w:t>
      </w:r>
    </w:p>
    <w:p>
      <w:pPr>
        <w:pStyle w:val="BodyText"/>
        <w:rPr/>
      </w:pPr>
      <w:r>
        <w:rPr/>
        <w:t>Enron is required to file quarterly with the Commission copies of the following notices sent to customers (Decision 96-02-072) including:</w:t>
      </w:r>
    </w:p>
    <w:p>
      <w:pPr>
        <w:pStyle w:val="Normal"/>
        <w:numPr>
          <w:ilvl w:val="0"/>
          <w:numId w:val="4"/>
        </w:numPr>
        <w:rPr/>
      </w:pPr>
      <w:r>
        <w:rPr/>
        <w:t xml:space="preserve">Copies of all written notices sent to customers describing Enron company registration, Commission authority to operate, consumer regulations, toll free numbers regarding billing or service, disclosure of all d/b/a names, names of billing agents, and rate information; </w:t>
      </w:r>
    </w:p>
    <w:p>
      <w:pPr>
        <w:pStyle w:val="Normal"/>
        <w:rPr/>
      </w:pPr>
      <w:r>
        <w:rPr/>
      </w:r>
    </w:p>
    <w:p>
      <w:pPr>
        <w:pStyle w:val="Normal"/>
        <w:numPr>
          <w:ilvl w:val="0"/>
          <w:numId w:val="4"/>
        </w:numPr>
        <w:rPr/>
      </w:pPr>
      <w:r>
        <w:rPr/>
        <w:t xml:space="preserve">All information sent to customers regarding the availability of Universal Lifeline Service, form of confirmation letter of ordered services, written notice of terms and conditions, and any denials of service for failure to establish credit or pay deposit; and </w:t>
      </w:r>
    </w:p>
    <w:p>
      <w:pPr>
        <w:pStyle w:val="Normal"/>
        <w:numPr>
          <w:ilvl w:val="0"/>
          <w:numId w:val="4"/>
        </w:numPr>
        <w:rPr/>
      </w:pPr>
      <w:r>
        <w:rPr/>
        <w:t>Rate notices, discontinuance of service notices, change in ownership or identity notices which are required to be sent to customer under the Consumer Protection Rules (see above).</w:t>
      </w:r>
    </w:p>
    <w:p>
      <w:pPr>
        <w:pStyle w:val="Normal"/>
        <w:ind w:start="360" w:end="0"/>
        <w:rPr/>
      </w:pPr>
      <w:r>
        <w:rPr/>
      </w:r>
    </w:p>
    <w:p>
      <w:pPr>
        <w:pStyle w:val="Heading2"/>
        <w:ind w:hanging="0" w:start="0"/>
        <w:rPr>
          <w:rFonts w:ascii="Times New Roman Bold;Times New Roman" w:hAnsi="Times New Roman Bold;Times New Roman" w:cs="Times New Roman Bold;Times New Roman"/>
          <w:caps/>
        </w:rPr>
      </w:pPr>
      <w:r>
        <w:rPr/>
        <w:t>V.</w:t>
        <w:tab/>
        <w:t>CONDEMNATION RIGHTS AND FRANCHISE FEES</w:t>
      </w:r>
    </w:p>
    <w:p>
      <w:pPr>
        <w:pStyle w:val="Heading2"/>
        <w:ind w:hanging="0" w:start="0"/>
        <w:rPr/>
      </w:pPr>
      <w:r>
        <w:rPr/>
        <w:t>A.</w:t>
        <w:tab/>
        <w:t>Authority of CLCs and NDIECs to Condemn Property</w:t>
      </w:r>
    </w:p>
    <w:p>
      <w:pPr>
        <w:pStyle w:val="BodyText"/>
        <w:rPr/>
      </w:pPr>
      <w:r>
        <w:rPr/>
        <w:t>Under California law, public utilities may condemn property for the construction or maintenance of telephone lines.  (Pub. Util. Code 617</w:t>
      </w:r>
      <w:r>
        <w:rPr>
          <w:i/>
          <w:iCs/>
        </w:rPr>
        <w:t>.</w:t>
      </w:r>
      <w:r>
        <w:rPr/>
        <w:t>)  However, as of January 1, 2000, CLCs and NDIECs must go through a process different from incumbent local exchange carriers (“ILECs”) in order to exercise the right of condemnation.  ILECs may go directly to a state court located in the same jurisdiction as the property in question and initiate condemnation proceedings.  In contrast, CLCs and NDIECs must first go to the Commission, and make a showing that condemnation of property is in the public interest.  Such showing is subject to the following requirements:</w:t>
      </w:r>
    </w:p>
    <w:p>
      <w:pPr>
        <w:pStyle w:val="Normal"/>
        <w:numPr>
          <w:ilvl w:val="0"/>
          <w:numId w:val="3"/>
        </w:numPr>
        <w:rPr/>
      </w:pPr>
      <w:r>
        <w:rPr/>
        <w:t xml:space="preserve">CLC or NDIEC must file a petition for a condemnation hearing before the Commission, and the owner of the property in question must be notified.  (Pub. Util. Code 625(a)(1)) and </w:t>
      </w:r>
    </w:p>
    <w:p>
      <w:pPr>
        <w:pStyle w:val="Normal"/>
        <w:numPr>
          <w:ilvl w:val="0"/>
          <w:numId w:val="3"/>
        </w:numPr>
        <w:rPr/>
      </w:pPr>
      <w:r>
        <w:rPr/>
        <w:t>CLC or NDIEC must show that the condemnation is necessary to provide service as a carrier of last resort in an unserved area (very unlikely given that CLCs and NDIEC do not generally have carrier of last resort obligations) (Pub. Util. Code 625(b)(1)); or</w:t>
      </w:r>
    </w:p>
    <w:p>
      <w:pPr>
        <w:pStyle w:val="Normal"/>
        <w:numPr>
          <w:ilvl w:val="0"/>
          <w:numId w:val="3"/>
        </w:numPr>
        <w:rPr/>
      </w:pPr>
      <w:r>
        <w:rPr/>
        <w:t xml:space="preserve">CLC or NDIEC must make a showing of </w:t>
      </w:r>
      <w:r>
        <w:rPr>
          <w:i/>
          <w:iCs/>
        </w:rPr>
        <w:t>all</w:t>
      </w:r>
      <w:r>
        <w:rPr/>
        <w:t xml:space="preserve"> of the following:  Condemnation of the property is in the public interest, the property to be condemned is necessary for the project, the public benefit outweighs the hardship to the land owner, and the project is located in a manner that is most compatible with the greatest public good and least private injury.  (Pub. Util. Code 625(b)(2)).</w:t>
      </w:r>
    </w:p>
    <w:p>
      <w:pPr>
        <w:pStyle w:val="Normal"/>
        <w:numPr>
          <w:ilvl w:val="0"/>
          <w:numId w:val="3"/>
        </w:numPr>
        <w:rPr/>
      </w:pPr>
      <w:r>
        <w:rPr/>
        <w:t>If the CLC or NDIEC receives a favorable Commission ruling, the CLC may then go to court and initiate a condemnation action in the normal manner.  (Cal. Code Civ Pro</w:t>
      </w:r>
      <w:r>
        <w:rPr>
          <w:i/>
          <w:iCs/>
        </w:rPr>
        <w:t>.</w:t>
      </w:r>
      <w:r>
        <w:rPr/>
        <w:t xml:space="preserve"> 1230.010 </w:t>
      </w:r>
      <w:r>
        <w:rPr>
          <w:i/>
          <w:iCs/>
        </w:rPr>
        <w:t>et seq.</w:t>
      </w:r>
      <w:r>
        <w:rPr/>
        <w:t>)</w:t>
      </w:r>
    </w:p>
    <w:p>
      <w:pPr>
        <w:pStyle w:val="Normal"/>
        <w:ind w:start="1440" w:end="0"/>
        <w:rPr/>
      </w:pPr>
      <w:r>
        <w:rPr/>
      </w:r>
    </w:p>
    <w:p>
      <w:pPr>
        <w:pStyle w:val="Heading2"/>
        <w:ind w:hanging="0" w:start="0"/>
        <w:rPr/>
      </w:pPr>
      <w:r>
        <w:rPr>
          <w:rStyle w:val="MessageHeaderLabel"/>
          <w:rFonts w:cs="Times New Roman"/>
          <w:b w:val="false"/>
          <w:bCs/>
          <w:sz w:val="24"/>
        </w:rPr>
        <w:t>B.</w:t>
        <w:tab/>
        <w:t>Authority of Municipalities to Regulate CLCs and NDIECs</w:t>
      </w:r>
    </w:p>
    <w:p>
      <w:pPr>
        <w:pStyle w:val="BodyText"/>
        <w:rPr/>
      </w:pPr>
      <w:r>
        <w:rPr>
          <w:rStyle w:val="MessageHeaderLabel"/>
          <w:rFonts w:cs="Times New Roman"/>
          <w:b w:val="false"/>
          <w:sz w:val="24"/>
        </w:rPr>
        <w:t xml:space="preserve">Under the California Constitution, the Public Utilities Commission has exclusive jurisdiction to regulate and supervise regulated telecommunications services.  Whether the Commission may regulate an NDIEC’s services depends upon whether the service is provided solely within California, or is provided on an interstate basis.  The Commission may regulate intrastate long distance service (interLATA), but does not have jurisdiction over purely interstate service.  </w:t>
      </w:r>
      <w:r>
        <w:rPr/>
        <w:t>Although</w:t>
      </w:r>
      <w:r>
        <w:rPr>
          <w:rStyle w:val="MessageHeaderLabel"/>
          <w:rFonts w:cs="Times New Roman"/>
          <w:b w:val="false"/>
          <w:sz w:val="24"/>
        </w:rPr>
        <w:t xml:space="preserve"> the Commission has exclusive jurisdiction in California over local and intrastate long distance services, cities and counties do have some ability to regulate the manner in which CLCs and NDIECs use city rights-of-way or other facilities based upon the city’s constitutional police powers to protect the public safety, health, and welfare.  It should be noted that the city’s efforts to regulate use of the right-of-way are subject to some significant restrictions.</w:t>
      </w:r>
    </w:p>
    <w:p>
      <w:pPr>
        <w:pStyle w:val="BodyText"/>
        <w:numPr>
          <w:ilvl w:val="0"/>
          <w:numId w:val="2"/>
        </w:numPr>
        <w:spacing w:before="0" w:after="0"/>
        <w:rPr>
          <w:rStyle w:val="MessageHeaderLabel"/>
          <w:rFonts w:ascii="Times New Roman" w:hAnsi="Times New Roman" w:cs="Times New Roman"/>
          <w:b w:val="false"/>
          <w:sz w:val="24"/>
        </w:rPr>
      </w:pPr>
      <w:r>
        <w:rPr>
          <w:rStyle w:val="MessageHeaderLabel"/>
          <w:rFonts w:cs="Times New Roman"/>
          <w:b w:val="false"/>
          <w:sz w:val="24"/>
        </w:rPr>
        <w:t>A city’s regulation must be reasonable and may affect only the time, place and manner of construction of telecommunications facilities.  (Cal. Pub. Util. Code §7901.1).</w:t>
      </w:r>
    </w:p>
    <w:p>
      <w:pPr>
        <w:pStyle w:val="BodyText"/>
        <w:numPr>
          <w:ilvl w:val="0"/>
          <w:numId w:val="9"/>
        </w:numPr>
        <w:spacing w:before="0" w:after="0"/>
        <w:rPr>
          <w:rStyle w:val="MessageHeaderLabel"/>
          <w:rFonts w:ascii="Times New Roman" w:hAnsi="Times New Roman" w:cs="Times New Roman"/>
          <w:b w:val="false"/>
          <w:sz w:val="24"/>
        </w:rPr>
      </w:pPr>
      <w:r>
        <w:rPr>
          <w:rStyle w:val="MessageHeaderLabel"/>
          <w:rFonts w:cs="Times New Roman"/>
          <w:b w:val="false"/>
          <w:sz w:val="24"/>
        </w:rPr>
        <w:t xml:space="preserve">Cities may not refuse a telecommunications corporation access to its right-of-way in order to provide communications service, and the city must treat all carriers in an equivalent manner.  (Cal. Pub. Util. Code §7901.1; </w:t>
      </w:r>
      <w:r>
        <w:rPr>
          <w:rStyle w:val="MessageHeaderLabel"/>
          <w:rFonts w:cs="Times New Roman"/>
          <w:b w:val="false"/>
          <w:i/>
          <w:iCs/>
          <w:sz w:val="24"/>
        </w:rPr>
        <w:t>Pacific Telephone and Telegraph v. City of Los Angeles</w:t>
      </w:r>
      <w:r>
        <w:rPr>
          <w:rStyle w:val="MessageHeaderLabel"/>
          <w:rFonts w:cs="Times New Roman"/>
          <w:b w:val="false"/>
          <w:sz w:val="24"/>
        </w:rPr>
        <w:t>, 44 Cal. 2d 272, 281, (1955)).  However, a city may require CLCs to obtain permits in order to use the right-of-way, and such permit is in addition to any requirements under CEQA to construct in the public right</w:t>
        <w:noBreakHyphen/>
        <w:t>of</w:t>
        <w:noBreakHyphen/>
        <w:t xml:space="preserve">way. </w:t>
      </w:r>
    </w:p>
    <w:p>
      <w:pPr>
        <w:pStyle w:val="BodyText"/>
        <w:numPr>
          <w:ilvl w:val="0"/>
          <w:numId w:val="9"/>
        </w:numPr>
        <w:spacing w:before="0" w:after="240"/>
        <w:rPr>
          <w:rStyle w:val="MessageHeaderLabel"/>
          <w:rFonts w:ascii="Times New Roman" w:hAnsi="Times New Roman" w:cs="Times New Roman"/>
          <w:b w:val="false"/>
          <w:sz w:val="24"/>
        </w:rPr>
      </w:pPr>
      <w:r>
        <w:rPr>
          <w:rStyle w:val="MessageHeaderLabel"/>
          <w:rFonts w:cs="Times New Roman"/>
          <w:b w:val="false"/>
          <w:sz w:val="24"/>
        </w:rPr>
        <w:t>City permitting requirements may not include a fee solely for the right to operate a telephone business in the city.  (</w:t>
      </w:r>
      <w:r>
        <w:rPr>
          <w:rStyle w:val="MessageHeaderLabel"/>
          <w:rFonts w:cs="Times New Roman"/>
          <w:b w:val="false"/>
          <w:i/>
          <w:sz w:val="24"/>
        </w:rPr>
        <w:t>Pacific</w:t>
      </w:r>
      <w:r>
        <w:rPr>
          <w:rStyle w:val="MessageHeaderLabel"/>
          <w:rFonts w:cs="Times New Roman"/>
          <w:b w:val="false"/>
          <w:sz w:val="24"/>
        </w:rPr>
        <w:t>, 44 Cal. 2d at 279).  However, a city may charge a permit fee for the placement, installation, repair, or upgrading of telecommunications facilities.  Such fees may not exceed the reasonable costs of the authorized/permitted activity, and a city may not levy such fees for general revenue purposes.  (Cal. Gov. Code §50030).</w:t>
      </w:r>
    </w:p>
    <w:sectPr>
      <w:footerReference w:type="default" r:id="rId3"/>
      <w:footerReference w:type="first" r:id="rId4"/>
      <w:type w:val="nextPage"/>
      <w:pgSz w:w="12240" w:h="15840"/>
      <w:pgMar w:left="1584" w:right="1584"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3.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2160"/>
        </w:tabs>
        <w:ind w:start="21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1513"/>
        </w:tabs>
        <w:ind w:start="1513"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Times New Roman" w:cs="Time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0" w:after="240"/>
      <w:outlineLvl w:val="1"/>
    </w:pPr>
    <w:rPr>
      <w:rFonts w:ascii="Times New Roman" w:hAnsi="Times New Roman" w:eastAsia="Times New Roman" w:cs="Times New Roman"/>
      <w:b/>
      <w:bCs/>
      <w:iCs/>
      <w:szCs w:val="28"/>
    </w:rPr>
  </w:style>
  <w:style w:type="paragraph" w:styleId="Heading3">
    <w:name w:val="heading 3"/>
    <w:basedOn w:val="Normal"/>
    <w:next w:val="Normal"/>
    <w:qFormat/>
    <w:pPr>
      <w:keepNext w:val="true"/>
      <w:numPr>
        <w:ilvl w:val="2"/>
        <w:numId w:val="1"/>
      </w:numPr>
      <w:spacing w:before="0" w:after="240"/>
      <w:outlineLvl w:val="2"/>
    </w:pPr>
    <w:rPr>
      <w:rFonts w:ascii="Times New Roman Bold;Times New Roman" w:hAnsi="Times New Roman Bold;Times New Roman" w:eastAsia="Times New Roman" w:cs="Arial"/>
      <w:b/>
      <w:bCs/>
      <w:szCs w:val="2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MessageHeaderLabel">
    <w:name w:val="Message Header Label"/>
    <w:qFormat/>
    <w:rPr>
      <w:rFonts w:ascii="Arial" w:hAnsi="Arial" w:cs="Arial"/>
      <w:b/>
      <w:spacing w:val="-4"/>
      <w:position w:val="0"/>
      <w:sz w:val="18"/>
      <w:sz w:val="18"/>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rFonts w:ascii="Times New Roman" w:hAnsi="Times New Roman" w:eastAsia="Times New Roman" w:cs="Times New Roman"/>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2000-08-23T16:47:00Z</dcterms:created>
  <dc:creator>Mac User</dc:creator>
  <dc:description/>
  <dc:language>en-CA</dc:language>
  <cp:lastModifiedBy>Camille Estes</cp:lastModifiedBy>
  <cp:lastPrinted>2000-08-23T11:35:00Z</cp:lastPrinted>
  <dcterms:modified xsi:type="dcterms:W3CDTF">2000-08-23T16:47:00Z</dcterms:modified>
  <cp:revision>2</cp:revision>
  <dc:subject/>
  <dc:title>BULLET POINTS FOR INTERCONNECTION AGREEMENTS</dc:title>
</cp:coreProperties>
</file>