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ind w:firstLine="360" w:end="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>California Regulatory Goals:</w:t>
      </w:r>
    </w:p>
    <w:p>
      <w:pPr>
        <w:pStyle w:val="Normal"/>
        <w:keepLines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>Rate freeze ends no earlier than Jan 31, 2002</w:t>
      </w:r>
    </w:p>
    <w:p>
      <w:pPr>
        <w:pStyle w:val="Normal"/>
        <w:keepLines/>
        <w:autoSpaceDE w:val="false"/>
        <w:spacing w:lineRule="atLeast" w:line="240"/>
        <w:ind w:start="360" w:end="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>EES claim to PX credit through end of rate freeze is valid at PUC</w:t>
      </w:r>
    </w:p>
    <w:p>
      <w:pPr>
        <w:pStyle w:val="Normal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rPr/>
      </w:pPr>
      <w:r>
        <w:rPr/>
        <w:t>Legislature and/or CPUC establishes core/non-core with “market” for non-core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Support state buying energy/keep utility solvent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Support portable on-site generation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Wholesale rules support “full” value of demand reduction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DSM incentives ($) from state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Claim right to purchase from UDC at UDC’s average weighted portfolio cost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Assist “re-source” to tariff ASAP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2001-01-19T19:33:00Z</dcterms:created>
  <dc:creator>hkingers</dc:creator>
  <dc:description/>
  <dc:language>en-CA</dc:language>
  <cp:lastModifiedBy>hkingers</cp:lastModifiedBy>
  <dcterms:modified xsi:type="dcterms:W3CDTF">2001-01-19T19:48:00Z</dcterms:modified>
  <cp:revision>1</cp:revision>
  <dc:subject/>
  <dc:title>California Regulatory Goals:</dc:title>
</cp:coreProperties>
</file>