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5"/>
        <w:gridCol w:w="1183"/>
        <w:gridCol w:w="1133"/>
        <w:gridCol w:w="1207"/>
        <w:gridCol w:w="766"/>
        <w:gridCol w:w="1394"/>
        <w:gridCol w:w="1908"/>
      </w:tblGrid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Intervenor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Allocation of 3 cents 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130% Res subsidy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Allocation of 3 mo increase </w:t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Apply to DA</w:t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Non-TOU rate design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TOU Rate Design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PGE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residential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 mos. 6/1</w:t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Uniform, but increase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tier if necessary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Summer on-pk $180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SCE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 proportion to existing gen revs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residential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 summer mos.</w:t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Increase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tier to invert the blocks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$10 off-pk; $30 mid-pk; rest summer on-pk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ORA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All classes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 summer mos.</w:t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70% summer; invert tiers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30% sum on-pk; 20% sum part-pk; 50% across board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TURN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Summer on-pk $200; but strongly consider refunds and penalties for &lt;90% and &gt;105% of baseline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AreM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CLECA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100 hours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Summer on-pk $300+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Kinder Morgan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100 hours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Most of increase summer on-pk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Farm Bureau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’</w:t>
            </w:r>
            <w:r>
              <w:rPr>
                <w:sz w:val="22"/>
              </w:rPr>
              <w:t>99 PX price weighted by class loads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Equalize ratio of TOU rate to cost of energy during that time period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 producers &amp; users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Entire increase to summer on-pk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CEC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Voluntary 2-part RTP.  ISO imbalance rate as price; fund decrement via DWR; fund meters via AB 29X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Leprino Foods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Don’t overload summer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Industrial Users</w:t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100 hours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75% summer (75% on-pk)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25% non-sum (100% on-pk)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2001-04-15T23:43:00Z</dcterms:created>
  <dc:creator>hkingers</dc:creator>
  <dc:description/>
  <dc:language>en-CA</dc:language>
  <cp:lastModifiedBy>hkingers</cp:lastModifiedBy>
  <cp:lastPrinted>2001-04-15T21:14:00Z</cp:lastPrinted>
  <dcterms:modified xsi:type="dcterms:W3CDTF">2001-04-16T00:08:00Z</dcterms:modified>
  <cp:revision>4</cp:revision>
  <dc:subject/>
  <dc:title>Intervenor</dc:title>
</cp:coreProperties>
</file>