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jc w:val="center"/>
        <w:rPr>
          <w:sz w:val="26"/>
          <w:szCs w:val="26"/>
        </w:rPr>
      </w:pPr>
      <w:r>
        <w:rPr>
          <w:sz w:val="26"/>
          <w:szCs w:val="26"/>
        </w:rPr>
        <w:t>Capacity Release Arrangement</w:t>
      </w:r>
    </w:p>
    <w:p>
      <w:pPr>
        <w:pStyle w:val="Normal"/>
        <w:widowControl/>
        <w:jc w:val="both"/>
        <w:rPr>
          <w:b/>
          <w:bCs/>
          <w:sz w:val="26"/>
          <w:szCs w:val="26"/>
        </w:rPr>
      </w:pPr>
      <w:r>
        <w:rPr>
          <w:b/>
          <w:bCs/>
          <w:sz w:val="26"/>
          <w:szCs w:val="26"/>
        </w:rPr>
      </w:r>
    </w:p>
    <w:p>
      <w:pPr>
        <w:pStyle w:val="BodyText"/>
        <w:rPr>
          <w:sz w:val="26"/>
          <w:szCs w:val="26"/>
        </w:rPr>
      </w:pPr>
      <w:r>
        <w:rPr>
          <w:sz w:val="26"/>
          <w:szCs w:val="26"/>
        </w:rPr>
        <w:t>This Capacity Release Arrangement (this “Agreement”) is entered into as of the 30th day of April, 1998, by and among Enron Capital &amp; Trade Resources Corp. (“ECT”) and Bethlehem Steel Corporation (“BSC”).</w:t>
      </w:r>
    </w:p>
    <w:p>
      <w:pPr>
        <w:pStyle w:val="Normal"/>
        <w:widowControl/>
        <w:jc w:val="both"/>
        <w:rPr>
          <w:b/>
          <w:bCs/>
          <w:sz w:val="26"/>
          <w:szCs w:val="26"/>
        </w:rPr>
      </w:pPr>
      <w:r>
        <w:rPr>
          <w:b/>
          <w:bCs/>
          <w:sz w:val="26"/>
          <w:szCs w:val="26"/>
        </w:rPr>
      </w:r>
    </w:p>
    <w:p>
      <w:pPr>
        <w:pStyle w:val="Normal"/>
        <w:widowControl/>
        <w:jc w:val="both"/>
        <w:rPr>
          <w:b/>
          <w:bCs/>
          <w:sz w:val="26"/>
          <w:szCs w:val="26"/>
        </w:rPr>
      </w:pPr>
      <w:r>
        <w:rPr>
          <w:b/>
          <w:bCs/>
          <w:sz w:val="26"/>
          <w:szCs w:val="26"/>
        </w:rPr>
      </w:r>
    </w:p>
    <w:p>
      <w:pPr>
        <w:pStyle w:val="Normal"/>
        <w:widowControl/>
        <w:numPr>
          <w:ilvl w:val="0"/>
          <w:numId w:val="2"/>
        </w:numPr>
        <w:tabs>
          <w:tab w:val="clear" w:pos="720"/>
          <w:tab w:val="left" w:pos="0" w:leader="none"/>
        </w:tabs>
        <w:spacing w:before="0" w:after="120"/>
        <w:ind w:hanging="720" w:start="720" w:end="0"/>
        <w:jc w:val="both"/>
        <w:rPr>
          <w:sz w:val="26"/>
          <w:szCs w:val="26"/>
        </w:rPr>
      </w:pPr>
      <w:r>
        <w:rPr>
          <w:sz w:val="26"/>
          <w:szCs w:val="26"/>
        </w:rPr>
        <w:t xml:space="preserve">ECT and BSC have been discussing various arrangements for BSC to acquire transportation on the Northern Border Pipeline (“NBP”) proposed expansion from Ventura, Iowa to NIPSCO.  ECT has issued several bids under a precedent agreement with NBP allowing ECT to acquire firm transportation capacity on NBP for a term of ten years and one day (with 30,000 MMBtu/day of such firm transportation capacity earmarked for release to NBP under this Agreement), the receipt point being the interconnect between Northern Natural Gas and NBP at Ventura, Iowa and the delivery point being NIPSCO City Gate (“NBP Ventura/NIPSCO Bids”).  Each of the NBP Ventura/NIPSCO Bids will become binding if ECT fails to revoke such NBP Ventura/NIPSCO Bid by 5:00 p.m. central daylight time on April 30, 1998 (“Deadline”). </w:t>
      </w:r>
    </w:p>
    <w:p>
      <w:pPr>
        <w:pStyle w:val="Normal"/>
        <w:widowControl/>
        <w:numPr>
          <w:ilvl w:val="0"/>
          <w:numId w:val="2"/>
        </w:numPr>
        <w:tabs>
          <w:tab w:val="clear" w:pos="720"/>
          <w:tab w:val="left" w:pos="0" w:leader="none"/>
        </w:tabs>
        <w:spacing w:before="0" w:after="120"/>
        <w:ind w:hanging="720" w:start="720" w:end="0"/>
        <w:jc w:val="both"/>
        <w:rPr>
          <w:sz w:val="26"/>
          <w:szCs w:val="26"/>
        </w:rPr>
      </w:pPr>
      <w:r>
        <w:rPr>
          <w:sz w:val="26"/>
          <w:szCs w:val="26"/>
        </w:rPr>
        <w:t>If (i) ECT makes the business decision not to revoke all of the NBP Ventura/NIPSCO Bids by the Deadline and (ii) NBP proceeds with the proposed pipeline expansion from Ventura to NIPSCO and (iii) ECT is awarded all of the firm transportation capacity described in the NBP Ventura/NIPSCO Bid(s) that ECT chooses to retain (including the 30,000 MMBtu/day of capacity earmarked for release to BSC), then ECT shall permanently release 30,000 MMBtu/day of such capacity to BSC for the entire ten year and one day term to BSC in a pre-arranged capacity release transaction at NBP’s maximum rate.  If, (i) and (ii) above are met, but ECT receives a reduced prorated capacity, then ECT shall release to BSC such reduced portion of the capacity received from NBP, or (at ECT's option) ECT shall release to BSC the full 30,000 MMBtu/day if ECT has such amount available.  BSC and ECT shall cooperate with NBP in their efforts to post the capacity to be released hereunder as a prearranged permanent capacity release transaction.  The capacity release shall be accomplished at the earliest practicable time after ECT is awarded capacity by NBP.</w:t>
      </w:r>
    </w:p>
    <w:p>
      <w:pPr>
        <w:pStyle w:val="Normal"/>
        <w:widowControl/>
        <w:numPr>
          <w:ilvl w:val="0"/>
          <w:numId w:val="2"/>
        </w:numPr>
        <w:tabs>
          <w:tab w:val="clear" w:pos="720"/>
          <w:tab w:val="left" w:pos="0" w:leader="none"/>
        </w:tabs>
        <w:spacing w:before="0" w:after="120"/>
        <w:ind w:hanging="720" w:start="720" w:end="0"/>
        <w:jc w:val="both"/>
        <w:rPr>
          <w:sz w:val="26"/>
          <w:szCs w:val="26"/>
        </w:rPr>
      </w:pPr>
      <w:r>
        <w:rPr>
          <w:sz w:val="26"/>
          <w:szCs w:val="26"/>
        </w:rPr>
        <w:t>ECT agrees to notify BSC no later than 3:00 p.m. central daylight time on April 30, 1998, as to which, if any, of the NBP Ventura/NIPSCO Bids that ECT will revoke.</w:t>
      </w:r>
    </w:p>
    <w:p>
      <w:pPr>
        <w:pStyle w:val="Normal"/>
        <w:widowControl/>
        <w:numPr>
          <w:ilvl w:val="0"/>
          <w:numId w:val="2"/>
        </w:numPr>
        <w:tabs>
          <w:tab w:val="clear" w:pos="720"/>
          <w:tab w:val="left" w:pos="0" w:leader="none"/>
        </w:tabs>
        <w:ind w:hanging="360" w:start="720" w:end="0"/>
        <w:jc w:val="both"/>
        <w:rPr>
          <w:sz w:val="26"/>
          <w:szCs w:val="26"/>
        </w:rPr>
      </w:pPr>
      <w:r>
        <w:rPr>
          <w:sz w:val="26"/>
          <w:szCs w:val="26"/>
        </w:rPr>
        <w:t xml:space="preserve">This Agreement (a) shall be governed and construed in accordance with the laws of the State of Texas, excluding any conflict of laws rules which may require the application of the laws of a different jurisdiction; (b) may be modified only in a writing signed by each of the parties hereto; (c) sets forth the entire agreement of the parties and supersedes all prior and existing agreements relating to the subject matter hereof, whether oral or written, consistent or inconsistent; (d) is intended solely for the benefit of the parties and shall not impart rights enforceable by any other person or entity; (e) may not be assigned by any party; and (f) may be signed in one or more counterparts, which together shall constitute one and the same agreement. </w:t>
      </w:r>
    </w:p>
    <w:p>
      <w:pPr>
        <w:pStyle w:val="Normal"/>
        <w:jc w:val="both"/>
        <w:rPr>
          <w:sz w:val="26"/>
          <w:szCs w:val="26"/>
        </w:rPr>
      </w:pPr>
      <w:r>
        <w:rPr>
          <w:sz w:val="26"/>
          <w:szCs w:val="26"/>
        </w:rPr>
      </w:r>
    </w:p>
    <w:p>
      <w:pPr>
        <w:pStyle w:val="Normal"/>
        <w:jc w:val="both"/>
        <w:rPr>
          <w:sz w:val="26"/>
          <w:szCs w:val="26"/>
        </w:rPr>
      </w:pPr>
      <w:r>
        <w:rPr>
          <w:sz w:val="26"/>
          <w:szCs w:val="26"/>
        </w:rPr>
        <w:tab/>
        <w:t>IN WITNESS WHEREOF, the parties hereto have executed this Agreement effective as of the first date written above.</w:t>
      </w:r>
    </w:p>
    <w:p>
      <w:pPr>
        <w:pStyle w:val="Normal"/>
        <w:jc w:val="both"/>
        <w:rPr>
          <w:sz w:val="26"/>
          <w:szCs w:val="26"/>
        </w:rPr>
      </w:pPr>
      <w:r>
        <w:rPr>
          <w:sz w:val="26"/>
          <w:szCs w:val="26"/>
        </w:rPr>
      </w:r>
    </w:p>
    <w:p>
      <w:pPr>
        <w:pStyle w:val="Normal"/>
        <w:ind w:start="4320" w:end="0"/>
        <w:rPr>
          <w:b/>
          <w:bCs/>
          <w:sz w:val="26"/>
          <w:szCs w:val="26"/>
        </w:rPr>
      </w:pPr>
      <w:r>
        <w:rPr>
          <w:b/>
          <w:bCs/>
          <w:sz w:val="26"/>
          <w:szCs w:val="26"/>
        </w:rPr>
        <w:t>ENRON CAPITAL &amp; TRADE RESOURCES CORP.</w:t>
      </w:r>
    </w:p>
    <w:p>
      <w:pPr>
        <w:pStyle w:val="Normal"/>
        <w:ind w:start="4320" w:end="0"/>
        <w:jc w:val="both"/>
        <w:rPr>
          <w:b/>
          <w:bCs/>
          <w:sz w:val="26"/>
          <w:szCs w:val="26"/>
        </w:rPr>
      </w:pPr>
      <w:r>
        <w:rPr>
          <w:b/>
          <w:bCs/>
          <w:sz w:val="26"/>
          <w:szCs w:val="26"/>
        </w:rPr>
      </w:r>
    </w:p>
    <w:p>
      <w:pPr>
        <w:pStyle w:val="Normal"/>
        <w:ind w:start="4320" w:end="0"/>
        <w:jc w:val="both"/>
        <w:rPr>
          <w:sz w:val="26"/>
          <w:szCs w:val="26"/>
        </w:rPr>
      </w:pPr>
      <w:r>
        <w:rPr>
          <w:sz w:val="26"/>
          <w:szCs w:val="26"/>
        </w:rPr>
        <w:t>By: ___________________________</w:t>
      </w:r>
    </w:p>
    <w:p>
      <w:pPr>
        <w:pStyle w:val="Normal"/>
        <w:ind w:start="4320" w:end="0"/>
        <w:jc w:val="both"/>
        <w:rPr>
          <w:sz w:val="26"/>
          <w:szCs w:val="26"/>
        </w:rPr>
      </w:pPr>
      <w:r>
        <w:rPr>
          <w:sz w:val="26"/>
          <w:szCs w:val="26"/>
        </w:rPr>
        <w:t>Its ____________________________</w:t>
      </w:r>
    </w:p>
    <w:p>
      <w:pPr>
        <w:pStyle w:val="Normal"/>
        <w:ind w:start="4320" w:end="0"/>
        <w:jc w:val="both"/>
        <w:rPr>
          <w:sz w:val="26"/>
          <w:szCs w:val="26"/>
        </w:rPr>
      </w:pPr>
      <w:r>
        <w:rPr>
          <w:sz w:val="26"/>
          <w:szCs w:val="26"/>
        </w:rPr>
      </w:r>
    </w:p>
    <w:p>
      <w:pPr>
        <w:pStyle w:val="Normal"/>
        <w:ind w:start="4320" w:end="0"/>
        <w:jc w:val="both"/>
        <w:rPr>
          <w:sz w:val="26"/>
          <w:szCs w:val="26"/>
        </w:rPr>
      </w:pPr>
      <w:r>
        <w:rPr>
          <w:sz w:val="26"/>
          <w:szCs w:val="26"/>
        </w:rPr>
      </w:r>
    </w:p>
    <w:p>
      <w:pPr>
        <w:pStyle w:val="Heading3"/>
        <w:jc w:val="start"/>
        <w:rPr>
          <w:sz w:val="26"/>
          <w:szCs w:val="26"/>
        </w:rPr>
      </w:pPr>
      <w:r>
        <w:rPr>
          <w:sz w:val="26"/>
          <w:szCs w:val="26"/>
        </w:rPr>
        <w:t>BETHLEHEM STEEL CORPORATION</w:t>
      </w:r>
    </w:p>
    <w:p>
      <w:pPr>
        <w:pStyle w:val="Normal"/>
        <w:ind w:start="4320" w:end="0"/>
        <w:jc w:val="both"/>
        <w:rPr>
          <w:sz w:val="26"/>
          <w:szCs w:val="26"/>
        </w:rPr>
      </w:pPr>
      <w:r>
        <w:rPr>
          <w:sz w:val="26"/>
          <w:szCs w:val="26"/>
        </w:rPr>
      </w:r>
    </w:p>
    <w:p>
      <w:pPr>
        <w:pStyle w:val="Heading2"/>
        <w:rPr>
          <w:sz w:val="26"/>
          <w:szCs w:val="26"/>
        </w:rPr>
      </w:pPr>
      <w:r>
        <w:rPr>
          <w:sz w:val="26"/>
          <w:szCs w:val="26"/>
        </w:rPr>
        <w:t>By: ___________________________</w:t>
      </w:r>
    </w:p>
    <w:p>
      <w:pPr>
        <w:pStyle w:val="Normal"/>
        <w:ind w:start="4320" w:end="0"/>
        <w:jc w:val="both"/>
        <w:rPr>
          <w:sz w:val="26"/>
          <w:szCs w:val="26"/>
        </w:rPr>
      </w:pPr>
      <w:r>
        <w:rPr>
          <w:sz w:val="26"/>
          <w:szCs w:val="26"/>
        </w:rPr>
        <w:t>Its ____________________________</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r>
  </w:p>
  <w:p>
    <w:pPr>
      <w:pStyle w:val="Footer"/>
      <w:rPr>
        <w:sz w:val="16"/>
        <w:szCs w:val="16"/>
      </w:rPr>
    </w:pPr>
    <w:r>
      <w:rPr>
        <w:sz w:val="16"/>
        <w:szCs w:val="16"/>
      </w:rPr>
      <w:t>SVANHOO\CAPACITY RELEASE ARRANGEMENT2.DOC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ind w:hanging="0" w:start="4320" w:end="0"/>
      <w:jc w:val="both"/>
      <w:outlineLvl w:val="1"/>
    </w:pPr>
    <w:rPr>
      <w:sz w:val="24"/>
      <w:szCs w:val="24"/>
    </w:rPr>
  </w:style>
  <w:style w:type="paragraph" w:styleId="Heading3">
    <w:name w:val="heading 3"/>
    <w:basedOn w:val="Normal"/>
    <w:next w:val="Normal"/>
    <w:qFormat/>
    <w:pPr>
      <w:keepNext w:val="true"/>
      <w:numPr>
        <w:ilvl w:val="2"/>
        <w:numId w:val="1"/>
      </w:numPr>
      <w:ind w:hanging="0" w:start="4320" w:end="0"/>
      <w:jc w:val="both"/>
      <w:outlineLvl w:val="2"/>
    </w:pPr>
    <w:rPr>
      <w:b/>
      <w:bCs/>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1998-04-29T16:49:00Z</dcterms:created>
  <dc:creator>ECT</dc:creator>
  <dc:description/>
  <dc:language>en-CA</dc:language>
  <cp:lastModifiedBy>ECT</cp:lastModifiedBy>
  <cp:lastPrinted>1998-04-29T13:45:00Z</cp:lastPrinted>
  <dcterms:modified xsi:type="dcterms:W3CDTF">1998-04-29T20:16:00Z</dcterms:modified>
  <cp:revision>5</cp:revision>
  <dc:subject/>
  <dc:title>Capacity Release Arrangement</dc:title>
</cp:coreProperties>
</file>