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b/>
          <w:sz w:val="28"/>
          <w:lang w:val="en-CA"/>
        </w:rPr>
      </w:pPr>
      <w:r>
        <w:rPr>
          <w:b/>
          <w:sz w:val="28"/>
          <w:lang w:val="en-CA"/>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1234440" cy="8229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5" t="-23" r="-15" b="-23"/>
                    <a:stretch>
                      <a:fillRect/>
                    </a:stretch>
                  </pic:blipFill>
                  <pic:spPr bwMode="auto">
                    <a:xfrm>
                      <a:off x="0" y="0"/>
                      <a:ext cx="1234440" cy="822960"/>
                    </a:xfrm>
                    <a:prstGeom prst="rect">
                      <a:avLst/>
                    </a:prstGeom>
                    <a:noFill/>
                  </pic:spPr>
                </pic:pic>
              </a:graphicData>
            </a:graphic>
          </wp:anchor>
        </w:drawing>
      </w:r>
    </w:p>
    <w:p>
      <w:pPr>
        <w:pStyle w:val="Normal"/>
        <w:jc w:val="start"/>
        <w:rPr>
          <w:sz w:val="28"/>
        </w:rPr>
      </w:pPr>
      <w:r>
        <w:rPr>
          <w:sz w:val="28"/>
        </w:rPr>
        <w:t>CalPX Announces Contingency to Downsize Operation</w:t>
      </w:r>
    </w:p>
    <w:p>
      <w:pPr>
        <w:pStyle w:val="Normal"/>
        <w:rPr>
          <w:b/>
          <w:sz w:val="24"/>
        </w:rPr>
      </w:pPr>
      <w:r>
        <w:rPr>
          <w:b/>
          <w:sz w:val="24"/>
        </w:rPr>
      </w:r>
    </w:p>
    <w:p>
      <w:pPr>
        <w:pStyle w:val="Normal"/>
        <w:rPr>
          <w:b/>
          <w:sz w:val="24"/>
        </w:rPr>
      </w:pPr>
      <w:r>
        <w:rPr>
          <w:b/>
          <w:sz w:val="24"/>
        </w:rPr>
      </w:r>
    </w:p>
    <w:p>
      <w:pPr>
        <w:pStyle w:val="Normal"/>
        <w:rPr/>
      </w:pPr>
      <w:r>
        <w:rPr>
          <w:b/>
          <w:sz w:val="24"/>
        </w:rPr>
        <w:t>FOR IMMEDIATE RELEASE</w:t>
        <w:tab/>
        <w:tab/>
        <w:tab/>
        <w:t>CONTACT:</w:t>
      </w:r>
      <w:r>
        <w:rPr>
          <w:sz w:val="24"/>
        </w:rPr>
        <w:t xml:space="preserve"> </w:t>
        <w:tab/>
        <w:t>E. Jesus Arredondo</w:t>
      </w:r>
    </w:p>
    <w:p>
      <w:pPr>
        <w:pStyle w:val="Normal"/>
        <w:rPr>
          <w:sz w:val="24"/>
        </w:rPr>
      </w:pPr>
      <w:r>
        <w:rPr>
          <w:sz w:val="24"/>
        </w:rPr>
        <w:t>Friday, January 19, 2001</w:t>
        <w:tab/>
        <w:tab/>
        <w:tab/>
        <w:tab/>
        <w:tab/>
        <w:tab/>
        <w:t>626/537-3155</w:t>
      </w:r>
    </w:p>
    <w:p>
      <w:pPr>
        <w:pStyle w:val="Normal"/>
        <w:rPr>
          <w:sz w:val="24"/>
        </w:rPr>
      </w:pPr>
      <w:r>
        <w:rPr>
          <w:sz w:val="24"/>
        </w:rPr>
        <w:tab/>
        <w:tab/>
        <w:tab/>
        <w:tab/>
        <w:tab/>
        <w:tab/>
        <w:tab/>
        <w:tab/>
        <w:tab/>
        <w:t>Beth Pendexter</w:t>
      </w:r>
    </w:p>
    <w:p>
      <w:pPr>
        <w:pStyle w:val="Normal"/>
        <w:rPr>
          <w:sz w:val="24"/>
        </w:rPr>
      </w:pPr>
      <w:r>
        <w:rPr>
          <w:sz w:val="24"/>
        </w:rPr>
        <w:tab/>
        <w:tab/>
        <w:tab/>
        <w:tab/>
        <w:tab/>
        <w:tab/>
        <w:tab/>
        <w:tab/>
        <w:tab/>
        <w:t>626/537-3154</w:t>
      </w:r>
    </w:p>
    <w:p>
      <w:pPr>
        <w:pStyle w:val="Normal"/>
        <w:rPr>
          <w:sz w:val="24"/>
        </w:rPr>
      </w:pPr>
      <w:r>
        <w:rPr>
          <w:sz w:val="24"/>
        </w:rPr>
      </w:r>
    </w:p>
    <w:p>
      <w:pPr>
        <w:pStyle w:val="Normal"/>
        <w:rPr/>
      </w:pPr>
      <w:r>
        <w:rPr>
          <w:b/>
          <w:sz w:val="24"/>
        </w:rPr>
        <w:t>PASADENA, CA</w:t>
      </w:r>
      <w:r>
        <w:rPr>
          <w:sz w:val="24"/>
        </w:rPr>
        <w:t xml:space="preserve"> – The California Power Exchange today announced immediate steps to downsize its operations and wind-up the affairs of the corporation.  The following is a statement by the President and CEO, George Sladoje:  </w:t>
      </w:r>
    </w:p>
    <w:p>
      <w:pPr>
        <w:pStyle w:val="Normal"/>
        <w:rPr>
          <w:sz w:val="24"/>
        </w:rPr>
      </w:pPr>
      <w:r>
        <w:rPr>
          <w:sz w:val="24"/>
        </w:rPr>
      </w:r>
    </w:p>
    <w:p>
      <w:pPr>
        <w:pStyle w:val="Normal"/>
        <w:rPr/>
      </w:pPr>
      <w:r>
        <w:rPr>
          <w:sz w:val="24"/>
        </w:rPr>
        <w:t>“</w:t>
      </w:r>
      <w:r>
        <w:rPr>
          <w:sz w:val="24"/>
        </w:rPr>
        <w:t xml:space="preserve">Over the past 33 and a half months, the California Power Exchange (CalPX) has made a tremendous contribution to the electricity industry.  We were created to introduce competition to a newly deregulated marketplace, and to provide consumers, businesses and regulators with a transparent wholesale price for power that reflects the intersection of supply and demand.  That’s exactly what we delivered. </w:t>
      </w:r>
    </w:p>
    <w:p>
      <w:pPr>
        <w:pStyle w:val="Normal"/>
        <w:rPr>
          <w:sz w:val="24"/>
        </w:rPr>
      </w:pPr>
      <w:r>
        <w:rPr>
          <w:sz w:val="24"/>
        </w:rPr>
      </w:r>
    </w:p>
    <w:p>
      <w:pPr>
        <w:pStyle w:val="Normal"/>
        <w:rPr>
          <w:sz w:val="24"/>
        </w:rPr>
      </w:pPr>
      <w:r>
        <w:rPr>
          <w:sz w:val="24"/>
        </w:rPr>
        <w:t>Last summer, a confluence of factors began to plague the markets yet, CalPX delivered its expert services without interruption.  At every juncture, we provided the market with the necessary tools to help manage risk and deliver reliable services to customers.</w:t>
      </w:r>
    </w:p>
    <w:p>
      <w:pPr>
        <w:pStyle w:val="Normal"/>
        <w:rPr>
          <w:sz w:val="24"/>
        </w:rPr>
      </w:pPr>
      <w:r>
        <w:rPr>
          <w:sz w:val="24"/>
        </w:rPr>
      </w:r>
    </w:p>
    <w:p>
      <w:pPr>
        <w:pStyle w:val="Normal"/>
        <w:rPr/>
      </w:pPr>
      <w:r>
        <w:rPr>
          <w:sz w:val="24"/>
        </w:rPr>
        <w:t>Our single largest disappointment was our inability to convince the industry of the need for forward purchasing and hedging.  We introduced our Block Forwards Market in the summer of 1999 when the Day-Ahead and Real-Time prices were fairly low and long before today’s vocal critics began preaching the virtues of forward transactions.  Although limited participation allowed our customers to save over $1.2 billion in the last seven months of 2000, the industry is now paying a heavy price for the failure to utilize these tools which were provided to the maximum extent.</w:t>
      </w:r>
    </w:p>
    <w:p>
      <w:pPr>
        <w:pStyle w:val="Normal"/>
        <w:rPr>
          <w:sz w:val="24"/>
        </w:rPr>
      </w:pPr>
      <w:r>
        <w:rPr>
          <w:sz w:val="24"/>
        </w:rPr>
      </w:r>
    </w:p>
    <w:p>
      <w:pPr>
        <w:pStyle w:val="Normal"/>
        <w:rPr>
          <w:sz w:val="24"/>
        </w:rPr>
      </w:pPr>
      <w:r>
        <w:rPr>
          <w:sz w:val="24"/>
        </w:rPr>
        <w:t xml:space="preserve">Adding to the distortion of the markets were the persistent rule changes and regulatory constructed hurdles that often-precluded California from fairly competing for electricity that was in such short supply throughout the western region. </w:t>
      </w:r>
    </w:p>
    <w:p>
      <w:pPr>
        <w:pStyle w:val="Normal"/>
        <w:rPr>
          <w:sz w:val="24"/>
        </w:rPr>
      </w:pPr>
      <w:r>
        <w:rPr>
          <w:sz w:val="24"/>
        </w:rPr>
      </w:r>
    </w:p>
    <w:p>
      <w:pPr>
        <w:pStyle w:val="Normal"/>
        <w:rPr>
          <w:sz w:val="24"/>
        </w:rPr>
      </w:pPr>
      <w:r>
        <w:rPr>
          <w:sz w:val="24"/>
        </w:rPr>
        <w:t>A final blow was the recent crippling order by the Federal Energy Regulatory Commission that caused tremendous and irrecoverable dislocation in the California electricity market.  The negative effects of this recent action will be felt for some time.</w:t>
      </w:r>
    </w:p>
    <w:p>
      <w:pPr>
        <w:pStyle w:val="Normal"/>
        <w:rPr>
          <w:sz w:val="24"/>
        </w:rPr>
      </w:pPr>
      <w:r>
        <w:rPr>
          <w:sz w:val="24"/>
        </w:rPr>
      </w:r>
    </w:p>
    <w:p>
      <w:pPr>
        <w:pStyle w:val="Normal"/>
        <w:rPr>
          <w:sz w:val="24"/>
        </w:rPr>
      </w:pPr>
      <w:r>
        <w:rPr>
          <w:sz w:val="24"/>
        </w:rPr>
        <w:t>The convergence of these factors has unplugged the in-state utilities and forced them to the brink of bankruptcy.</w:t>
      </w:r>
    </w:p>
    <w:p>
      <w:pPr>
        <w:pStyle w:val="Normal"/>
        <w:rPr>
          <w:sz w:val="24"/>
        </w:rPr>
      </w:pPr>
      <w:r>
        <w:rPr>
          <w:sz w:val="24"/>
        </w:rPr>
      </w:r>
    </w:p>
    <w:p>
      <w:pPr>
        <w:pStyle w:val="Normal"/>
        <w:rPr>
          <w:sz w:val="24"/>
        </w:rPr>
      </w:pPr>
      <w:r>
        <w:rPr>
          <w:sz w:val="24"/>
        </w:rPr>
        <w:t xml:space="preserve">Today, CalPX finds itself immersed in a situation not of our making.  The damage the markets have suffered has caused us to no longer be able to deliver the services we so well performed.  </w:t>
      </w:r>
    </w:p>
    <w:p>
      <w:pPr>
        <w:pStyle w:val="Normal"/>
        <w:rPr>
          <w:sz w:val="24"/>
        </w:rPr>
      </w:pPr>
      <w:r>
        <w:rPr>
          <w:sz w:val="24"/>
        </w:rPr>
      </w:r>
    </w:p>
    <w:p>
      <w:pPr>
        <w:pStyle w:val="Normal"/>
        <w:rPr/>
      </w:pPr>
      <w:r>
        <w:rPr>
          <w:sz w:val="24"/>
        </w:rPr>
        <w:t>With the concurrence of our Board of Governors, CalPX will today begin an orderly downsizing of our operation, commencing with the layoff of 15% of our workforce, with further layoffs to follow.</w:t>
      </w:r>
    </w:p>
    <w:p>
      <w:pPr>
        <w:pStyle w:val="Normal"/>
        <w:rPr>
          <w:sz w:val="24"/>
        </w:rPr>
      </w:pPr>
      <w:r>
        <w:rPr>
          <w:sz w:val="24"/>
        </w:rPr>
      </w:r>
    </w:p>
    <w:p>
      <w:pPr>
        <w:pStyle w:val="Normal"/>
        <w:rPr>
          <w:sz w:val="24"/>
        </w:rPr>
      </w:pPr>
      <w:r>
        <w:rPr>
          <w:sz w:val="24"/>
        </w:rPr>
        <w:t xml:space="preserve">While we begin the orderly transition out of this market, CalPX remains proud of the light it has shed on an industry that had been previously regulated in virtual secrecy for over 125 years.  </w:t>
      </w:r>
    </w:p>
    <w:p>
      <w:pPr>
        <w:pStyle w:val="Normal"/>
        <w:rPr>
          <w:sz w:val="24"/>
        </w:rPr>
      </w:pPr>
      <w:r>
        <w:rPr>
          <w:sz w:val="24"/>
        </w:rPr>
      </w:r>
    </w:p>
    <w:p>
      <w:pPr>
        <w:pStyle w:val="Normal"/>
        <w:rPr/>
      </w:pPr>
      <w:r>
        <w:rPr>
          <w:sz w:val="24"/>
        </w:rPr>
        <w:t xml:space="preserve">Clearly, there is much work that lies ahead.  The concept of an ‘exchange’ based operation in the middle of the deregulation effort is a sound one.  For 26 of the past 33 months, it worked without missing a beat in California.  It will, and continues to work in other regions.  Unfortunately, due to a myriad of reasons – it has stopped working in California.  </w:t>
      </w:r>
    </w:p>
    <w:p>
      <w:pPr>
        <w:pStyle w:val="Normal"/>
        <w:rPr>
          <w:sz w:val="24"/>
        </w:rPr>
      </w:pPr>
      <w:r>
        <w:rPr>
          <w:sz w:val="24"/>
        </w:rPr>
      </w:r>
    </w:p>
    <w:p>
      <w:pPr>
        <w:pStyle w:val="Normal"/>
        <w:rPr>
          <w:sz w:val="24"/>
        </w:rPr>
      </w:pPr>
      <w:r>
        <w:rPr>
          <w:sz w:val="24"/>
        </w:rPr>
        <w:t>CalPX sincerely hopes that government, consumer groups and stakeholders will work in harmony to keep the lights on for all Californians.”</w:t>
      </w:r>
    </w:p>
    <w:p>
      <w:pPr>
        <w:pStyle w:val="Normal"/>
        <w:rPr>
          <w:sz w:val="24"/>
        </w:rPr>
      </w:pPr>
      <w:r>
        <w:rPr>
          <w:sz w:val="24"/>
        </w:rPr>
      </w:r>
    </w:p>
    <w:p>
      <w:pPr>
        <w:pStyle w:val="Normal"/>
        <w:rPr>
          <w:sz w:val="24"/>
        </w:rPr>
      </w:pPr>
      <w:r>
        <w:rPr>
          <w:sz w:val="24"/>
        </w:rPr>
      </w:r>
    </w:p>
    <w:p>
      <w:pPr>
        <w:pStyle w:val="Normal"/>
        <w:rPr>
          <w:b/>
          <w:sz w:val="24"/>
        </w:rPr>
      </w:pPr>
      <w:r>
        <w:rPr>
          <w:b/>
          <w:sz w:val="24"/>
        </w:rPr>
        <w:t>-30-</w:t>
      </w:r>
    </w:p>
    <w:p>
      <w:pPr>
        <w:pStyle w:val="Normal"/>
        <w:rPr>
          <w:b/>
          <w:sz w:val="24"/>
        </w:rPr>
      </w:pPr>
      <w:r>
        <w:rPr>
          <w:b/>
          <w:sz w:val="24"/>
        </w:rPr>
      </w:r>
    </w:p>
    <w:p>
      <w:pPr>
        <w:pStyle w:val="Normal"/>
        <w:rPr>
          <w:b/>
          <w:i/>
          <w:i/>
          <w:sz w:val="22"/>
        </w:rPr>
      </w:pPr>
      <w:r>
        <w:rPr>
          <w:b/>
          <w:i/>
          <w:sz w:val="22"/>
        </w:rPr>
      </w:r>
    </w:p>
    <w:p>
      <w:pPr>
        <w:pStyle w:val="Normal"/>
        <w:rPr>
          <w:i/>
          <w:i/>
          <w:sz w:val="22"/>
        </w:rPr>
      </w:pPr>
      <w:r>
        <w:rPr>
          <w:i/>
          <w:sz w:val="22"/>
        </w:rPr>
        <w:t xml:space="preserve">CalPX is a non-profit public benefit corporation established in 1997 with the passage of AB1890, which restructured the electric utility industry within the state of California. </w:t>
      </w:r>
    </w:p>
    <w:p>
      <w:pPr>
        <w:pStyle w:val="Normal"/>
        <w:rPr>
          <w:b/>
          <w:i/>
          <w:i/>
          <w:sz w:val="24"/>
        </w:rPr>
      </w:pPr>
      <w:r>
        <w:rPr>
          <w:b/>
          <w:i/>
          <w:sz w:val="24"/>
        </w:rPr>
      </w:r>
    </w:p>
    <w:p>
      <w:pPr>
        <w:pStyle w:val="Normal"/>
        <w:rPr>
          <w:b/>
          <w:sz w:val="28"/>
        </w:rPr>
      </w:pPr>
      <w:r>
        <w:rPr>
          <w:b/>
          <w:sz w:val="28"/>
        </w:rPr>
      </w:r>
    </w:p>
    <w:p>
      <w:pPr>
        <w:pStyle w:val="Normal"/>
        <w:rPr>
          <w:b/>
          <w:sz w:val="24"/>
        </w:rPr>
      </w:pPr>
      <w:r>
        <w:rPr>
          <w:b/>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2001-01-18T16:54:00Z</dcterms:created>
  <dc:creator>JArredondo</dc:creator>
  <dc:description/>
  <dc:language>en-CA</dc:language>
  <cp:lastModifiedBy>Beth Pendexter</cp:lastModifiedBy>
  <cp:lastPrinted>2001-01-19T12:19:00Z</cp:lastPrinted>
  <dcterms:modified xsi:type="dcterms:W3CDTF">2001-01-19T22:03:00Z</dcterms:modified>
  <cp:revision>7</cp:revision>
  <dc:subject/>
  <dc:title>DRAFT</dc:title>
</cp:coreProperties>
</file>