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UNITED STATES OF AMERICA</w:t>
      </w:r>
    </w:p>
    <w:p>
      <w:pPr>
        <w:pStyle w:val="Heading"/>
        <w:rPr>
          <w:sz w:val="28"/>
        </w:rPr>
      </w:pPr>
      <w:r>
        <w:rPr>
          <w:sz w:val="28"/>
        </w:rPr>
        <w:t>BEFORE THE</w:t>
      </w:r>
    </w:p>
    <w:p>
      <w:pPr>
        <w:pStyle w:val="Normal"/>
        <w:jc w:val="center"/>
        <w:rPr>
          <w:sz w:val="28"/>
        </w:rPr>
      </w:pPr>
      <w:r>
        <w:rPr>
          <w:b/>
          <w:sz w:val="28"/>
        </w:rPr>
        <w:t>FEDERAL ENERGY REGULATORY COMMISSION</w:t>
      </w:r>
    </w:p>
    <w:p>
      <w:pPr>
        <w:pStyle w:val="Style0"/>
        <w:rPr>
          <w:rFonts w:ascii="Times New Roman" w:hAnsi="Times New Roman" w:cs="Times New Roman"/>
          <w:b/>
          <w:lang w:eastAsia="en-CA"/>
        </w:rPr>
      </w:pPr>
      <w:r>
        <w:rPr>
          <w:rFonts w:cs="Times New Roman" w:ascii="Times New Roman" w:hAnsi="Times New Roman"/>
          <w:lang w:eastAsia="en-CA"/>
        </w:rPr>
        <w:tab/>
        <w:tab/>
        <w:tab/>
        <w:tab/>
        <w:tab/>
      </w:r>
    </w:p>
    <w:p>
      <w:pPr>
        <w:pStyle w:val="Normal"/>
        <w:rPr>
          <w:sz w:val="24"/>
        </w:rPr>
      </w:pPr>
      <w:r>
        <w:rPr>
          <w:sz w:val="24"/>
        </w:rPr>
        <w:t>__________________________________________</w:t>
      </w:r>
    </w:p>
    <w:p>
      <w:pPr>
        <w:pStyle w:val="Normal"/>
        <w:rPr>
          <w:sz w:val="24"/>
        </w:rPr>
      </w:pPr>
      <w:r>
        <w:rPr>
          <w:sz w:val="24"/>
        </w:rPr>
        <w:tab/>
        <w:tab/>
        <w:tab/>
        <w:tab/>
        <w:tab/>
        <w:tab/>
        <w:tab/>
        <w:t>)</w:t>
      </w:r>
    </w:p>
    <w:p>
      <w:pPr>
        <w:pStyle w:val="Normal"/>
        <w:rPr>
          <w:sz w:val="24"/>
        </w:rPr>
      </w:pPr>
      <w:r>
        <w:rPr>
          <w:sz w:val="24"/>
        </w:rPr>
        <w:t>Coral Power, L.L.C.</w:t>
        <w:tab/>
        <w:tab/>
        <w:tab/>
        <w:tab/>
        <w:tab/>
        <w:t>)</w:t>
      </w:r>
    </w:p>
    <w:p>
      <w:pPr>
        <w:pStyle w:val="Normal"/>
        <w:rPr>
          <w:sz w:val="24"/>
        </w:rPr>
      </w:pPr>
      <w:r>
        <w:rPr>
          <w:sz w:val="24"/>
        </w:rPr>
        <w:t>Enron Power Marketing, Inc.</w:t>
        <w:tab/>
        <w:tab/>
        <w:tab/>
        <w:tab/>
        <w:t>)</w:t>
      </w:r>
    </w:p>
    <w:p>
      <w:pPr>
        <w:pStyle w:val="Normal"/>
        <w:rPr>
          <w:sz w:val="24"/>
        </w:rPr>
      </w:pPr>
      <w:r>
        <w:rPr>
          <w:sz w:val="24"/>
        </w:rPr>
        <w:t>Arizona Public Service Company</w:t>
        <w:tab/>
        <w:tab/>
        <w:tab/>
        <w:t>)</w:t>
      </w:r>
    </w:p>
    <w:p>
      <w:pPr>
        <w:pStyle w:val="Normal"/>
        <w:rPr>
          <w:sz w:val="24"/>
        </w:rPr>
      </w:pPr>
      <w:r>
        <w:rPr>
          <w:sz w:val="24"/>
        </w:rPr>
        <w:t>Cargill-Alliant, LLC</w:t>
        <w:tab/>
        <w:tab/>
        <w:tab/>
        <w:tab/>
        <w:tab/>
        <w:t>)</w:t>
      </w:r>
    </w:p>
    <w:p>
      <w:pPr>
        <w:pStyle w:val="Normal"/>
        <w:rPr>
          <w:sz w:val="24"/>
        </w:rPr>
      </w:pPr>
      <w:r>
        <w:rPr>
          <w:sz w:val="24"/>
        </w:rPr>
        <w:t>San Diego Gas &amp; Electric Company</w:t>
        <w:tab/>
        <w:tab/>
        <w:tab/>
        <w:t>)</w:t>
      </w:r>
    </w:p>
    <w:p>
      <w:pPr>
        <w:pStyle w:val="Normal"/>
        <w:rPr>
          <w:sz w:val="24"/>
        </w:rPr>
      </w:pPr>
      <w:r>
        <w:rPr>
          <w:sz w:val="24"/>
        </w:rPr>
        <w:t>Avista Energy, Inc.</w:t>
        <w:tab/>
        <w:tab/>
        <w:tab/>
        <w:tab/>
        <w:tab/>
        <w:t>)</w:t>
      </w:r>
    </w:p>
    <w:p>
      <w:pPr>
        <w:pStyle w:val="Normal"/>
        <w:rPr>
          <w:sz w:val="24"/>
        </w:rPr>
      </w:pPr>
      <w:r>
        <w:rPr>
          <w:sz w:val="24"/>
        </w:rPr>
        <w:t>Sempra Energy Trading Corp.</w:t>
        <w:tab/>
        <w:tab/>
        <w:tab/>
        <w:t>)</w:t>
      </w:r>
    </w:p>
    <w:p>
      <w:pPr>
        <w:pStyle w:val="Normal"/>
        <w:rPr>
          <w:sz w:val="24"/>
        </w:rPr>
      </w:pPr>
      <w:r>
        <w:rPr>
          <w:sz w:val="24"/>
        </w:rPr>
        <w:t>PacifiCorp</w:t>
        <w:tab/>
        <w:tab/>
        <w:tab/>
        <w:tab/>
        <w:tab/>
        <w:tab/>
        <w:t>)</w:t>
      </w:r>
    </w:p>
    <w:p>
      <w:pPr>
        <w:pStyle w:val="Normal"/>
        <w:rPr>
          <w:sz w:val="24"/>
        </w:rPr>
      </w:pPr>
      <w:r>
        <w:rPr>
          <w:sz w:val="24"/>
        </w:rPr>
        <w:t>Constellation Power Source</w:t>
        <w:tab/>
        <w:tab/>
        <w:tab/>
        <w:tab/>
        <w:t xml:space="preserve">) </w:t>
        <w:tab/>
        <w:tab/>
        <w:t>Docket No. EL01-____-000</w:t>
      </w:r>
    </w:p>
    <w:p>
      <w:pPr>
        <w:pStyle w:val="Normal"/>
        <w:rPr>
          <w:sz w:val="24"/>
        </w:rPr>
      </w:pPr>
      <w:r>
        <w:rPr>
          <w:sz w:val="24"/>
        </w:rPr>
        <w:tab/>
        <w:tab/>
        <w:tab/>
        <w:tab/>
        <w:tab/>
        <w:tab/>
        <w:tab/>
        <w:t>)</w:t>
      </w:r>
    </w:p>
    <w:p>
      <w:pPr>
        <w:pStyle w:val="Normal"/>
        <w:rPr>
          <w:sz w:val="24"/>
        </w:rPr>
      </w:pPr>
      <w:r>
        <w:rPr>
          <w:sz w:val="24"/>
        </w:rPr>
        <w:tab/>
        <w:tab/>
        <w:t>Complainants,</w:t>
        <w:tab/>
        <w:tab/>
        <w:tab/>
        <w:tab/>
        <w:t xml:space="preserve">) </w:t>
      </w:r>
    </w:p>
    <w:p>
      <w:pPr>
        <w:pStyle w:val="Normal"/>
        <w:rPr>
          <w:sz w:val="24"/>
        </w:rPr>
      </w:pPr>
      <w:r>
        <w:rPr>
          <w:sz w:val="24"/>
        </w:rPr>
        <w:tab/>
        <w:tab/>
        <w:tab/>
        <w:tab/>
        <w:tab/>
        <w:tab/>
        <w:tab/>
        <w:t>)</w:t>
      </w:r>
    </w:p>
    <w:p>
      <w:pPr>
        <w:pStyle w:val="Normal"/>
        <w:ind w:hanging="2880" w:start="4320" w:end="0"/>
        <w:rPr>
          <w:sz w:val="24"/>
        </w:rPr>
      </w:pPr>
      <w:r>
        <w:rPr>
          <w:sz w:val="24"/>
        </w:rPr>
        <w:t>v.</w:t>
        <w:tab/>
        <w:tab/>
        <w:t>)</w:t>
        <w:tab/>
        <w:tab/>
        <w:tab/>
        <w:tab/>
        <w:tab/>
        <w:tab/>
        <w:t>)</w:t>
      </w:r>
    </w:p>
    <w:p>
      <w:pPr>
        <w:pStyle w:val="Normal"/>
        <w:rPr>
          <w:sz w:val="24"/>
        </w:rPr>
      </w:pPr>
      <w:r>
        <w:rPr>
          <w:sz w:val="24"/>
        </w:rPr>
        <w:t>California Power Exchange Corporation</w:t>
        <w:tab/>
        <w:tab/>
        <w:t>)</w:t>
      </w:r>
    </w:p>
    <w:p>
      <w:pPr>
        <w:pStyle w:val="Normal"/>
        <w:rPr>
          <w:sz w:val="24"/>
        </w:rPr>
      </w:pPr>
      <w:r>
        <w:rPr>
          <w:sz w:val="24"/>
        </w:rPr>
        <w:tab/>
        <w:tab/>
        <w:tab/>
        <w:tab/>
        <w:tab/>
        <w:tab/>
        <w:tab/>
        <w:t>)</w:t>
      </w:r>
    </w:p>
    <w:p>
      <w:pPr>
        <w:pStyle w:val="Normal"/>
        <w:rPr>
          <w:sz w:val="24"/>
        </w:rPr>
      </w:pPr>
      <w:r>
        <w:rPr>
          <w:sz w:val="24"/>
        </w:rPr>
        <w:tab/>
        <w:tab/>
        <w:t>Respondent.</w:t>
        <w:tab/>
        <w:tab/>
        <w:tab/>
        <w:tab/>
        <w:t>)</w:t>
      </w:r>
    </w:p>
    <w:p>
      <w:pPr>
        <w:pStyle w:val="Normal"/>
        <w:rPr>
          <w:sz w:val="24"/>
        </w:rPr>
      </w:pPr>
      <w:r>
        <w:rPr>
          <w:sz w:val="24"/>
        </w:rPr>
        <w:t>__________________________________________)</w:t>
      </w:r>
    </w:p>
    <w:p>
      <w:pPr>
        <w:pStyle w:val="Style0"/>
        <w:rPr>
          <w:rFonts w:ascii="Times New Roman" w:hAnsi="Times New Roman" w:cs="Times New Roman"/>
          <w:sz w:val="24"/>
          <w:lang w:eastAsia="en-CA"/>
        </w:rPr>
      </w:pPr>
      <w:r>
        <w:rPr>
          <w:rFonts w:cs="Times New Roman" w:ascii="Times New Roman" w:hAnsi="Times New Roman"/>
          <w:sz w:val="24"/>
          <w:lang w:eastAsia="en-CA"/>
        </w:rPr>
      </w:r>
    </w:p>
    <w:p>
      <w:pPr>
        <w:pStyle w:val="Normal"/>
        <w:rPr/>
      </w:pPr>
      <w:r>
        <w:rPr/>
        <w:tab/>
        <w:tab/>
        <w:tab/>
        <w:tab/>
        <w:tab/>
        <w:tab/>
      </w:r>
    </w:p>
    <w:p>
      <w:pPr>
        <w:pStyle w:val="Normal"/>
        <w:jc w:val="center"/>
        <w:rPr>
          <w:b/>
          <w:sz w:val="28"/>
        </w:rPr>
      </w:pPr>
      <w:r>
        <w:rPr>
          <w:b/>
          <w:sz w:val="28"/>
        </w:rPr>
        <w:t>COMPLAINT REQUESTING</w:t>
      </w:r>
    </w:p>
    <w:p>
      <w:pPr>
        <w:pStyle w:val="Normal"/>
        <w:jc w:val="center"/>
        <w:rPr>
          <w:b/>
          <w:sz w:val="28"/>
        </w:rPr>
      </w:pPr>
      <w:r>
        <w:rPr>
          <w:b/>
          <w:sz w:val="28"/>
        </w:rPr>
        <w:t xml:space="preserve">FAST TRACK PROCESSING AND EMERGENCY SUSPENSION </w:t>
      </w:r>
    </w:p>
    <w:p>
      <w:pPr>
        <w:pStyle w:val="Normal"/>
        <w:jc w:val="center"/>
        <w:rPr>
          <w:sz w:val="28"/>
        </w:rPr>
      </w:pPr>
      <w:r>
        <w:rPr>
          <w:b/>
          <w:sz w:val="28"/>
        </w:rPr>
        <w:t>OF CALIFORNIA POWER EXCHANGE CORPORATION DEFAULT CHARGEBACK PROVISION</w:t>
      </w:r>
    </w:p>
    <w:p>
      <w:pPr>
        <w:pStyle w:val="Normal"/>
        <w:rPr>
          <w:sz w:val="24"/>
        </w:rPr>
      </w:pPr>
      <w:r>
        <w:rPr>
          <w:sz w:val="24"/>
        </w:rPr>
      </w:r>
    </w:p>
    <w:p>
      <w:pPr>
        <w:pStyle w:val="1Paragraph"/>
        <w:spacing w:lineRule="auto" w:line="480"/>
        <w:rPr>
          <w:lang w:eastAsia="en-CA"/>
        </w:rPr>
      </w:pPr>
      <w:r>
        <w:rPr>
          <w:lang w:eastAsia="en-CA"/>
        </w:rPr>
        <w:tab/>
        <w:t xml:space="preserve">Pursuant to 16 U.S.C. § 824e (1994) and 18 C.F.R. § 385.206 (2000), </w:t>
        <w:softHyphen/>
        <w:softHyphen/>
        <w:softHyphen/>
        <w:t>Coral Power, L.L.C., Enron Power Marketing, Inc., Arizona Public Service Company, Cargill-Alliant, LLC, San Diego Gas &amp; Electric Company, Avista Energy, Inc., Sempra Energy Trading Corp., PacifiCorp, and Constellation Power Source (jointly “Complainants”) hereby seek a determination that attempts being made by the California Power Exchange Corporation (“CalPX”) to chargeback to sellers into the CalPX market pursuant to Section 5.3 of Schedule 2 of the CalPX Tariff for defaults of Southern California Edison Company (“SCE”) and other defaulting parties are unauthorized by the CalPX Tariff and are unjust and unreasonable under current circumstances in California. CalPX’s ongoing and increasing use of chargebacks is rapidly exacerbating the crisis in California. Complainants therefore request that the Commission address this Complaint using to the fast-track processing procedures of 18 C.F.R. § 385.206(h) (2000), and immediately suspend operation of the chargeback provisions of the CalPX Tariff pending full consideration of this Complaint.  In support, Complainants state:</w:t>
      </w:r>
    </w:p>
    <w:p>
      <w:pPr>
        <w:pStyle w:val="Heading6"/>
        <w:ind w:hanging="0" w:start="0"/>
        <w:rPr>
          <w:sz w:val="28"/>
        </w:rPr>
      </w:pPr>
      <w:r>
        <w:rPr>
          <w:sz w:val="28"/>
        </w:rPr>
        <w:t>I.</w:t>
        <w:tab/>
        <w:t>COMMUNICATIONS</w:t>
      </w:r>
    </w:p>
    <w:p>
      <w:pPr>
        <w:pStyle w:val="Normal"/>
        <w:spacing w:lineRule="auto" w:line="480"/>
        <w:jc w:val="both"/>
        <w:rPr>
          <w:sz w:val="24"/>
        </w:rPr>
      </w:pPr>
      <w:r>
        <w:rPr>
          <w:sz w:val="24"/>
        </w:rPr>
        <w:tab/>
        <w:t>Communications and correspondence regarding this proceeding should be addressed to the representatives of Complainants listed in Appendix A.</w:t>
      </w:r>
    </w:p>
    <w:p>
      <w:pPr>
        <w:pStyle w:val="Heading7"/>
        <w:numPr>
          <w:ilvl w:val="0"/>
          <w:numId w:val="4"/>
        </w:numPr>
        <w:spacing w:lineRule="auto" w:line="240"/>
        <w:ind w:hanging="0" w:start="0"/>
        <w:rPr/>
      </w:pPr>
      <w:r>
        <w:rPr/>
        <w:t>PARTIES</w:t>
      </w:r>
    </w:p>
    <w:p>
      <w:pPr>
        <w:pStyle w:val="Normal"/>
        <w:rPr>
          <w:sz w:val="24"/>
        </w:rPr>
      </w:pPr>
      <w:r>
        <w:rPr>
          <w:sz w:val="24"/>
        </w:rPr>
      </w:r>
    </w:p>
    <w:p>
      <w:pPr>
        <w:pStyle w:val="Style0"/>
        <w:numPr>
          <w:ilvl w:val="0"/>
          <w:numId w:val="6"/>
        </w:numPr>
        <w:tabs>
          <w:tab w:val="clear" w:pos="720"/>
          <w:tab w:val="left" w:pos="1440" w:leader="none"/>
        </w:tabs>
        <w:ind w:hanging="720" w:start="1440" w:end="0"/>
        <w:rPr>
          <w:rFonts w:ascii="Times New Roman" w:hAnsi="Times New Roman" w:cs="Times New Roman"/>
          <w:b/>
          <w:i/>
          <w:i/>
          <w:lang w:eastAsia="en-CA"/>
        </w:rPr>
      </w:pPr>
      <w:r>
        <w:rPr>
          <w:rFonts w:cs="Times New Roman" w:ascii="Times New Roman" w:hAnsi="Times New Roman"/>
          <w:b/>
          <w:i/>
          <w:lang w:eastAsia="en-CA"/>
        </w:rPr>
        <w:t>Complainants</w:t>
      </w:r>
    </w:p>
    <w:p>
      <w:pPr>
        <w:pStyle w:val="Style0"/>
        <w:rPr>
          <w:rFonts w:ascii="Times New Roman" w:hAnsi="Times New Roman" w:cs="Times New Roman"/>
          <w:b/>
          <w:i/>
          <w:i/>
          <w:lang w:eastAsia="en-CA"/>
        </w:rPr>
      </w:pPr>
      <w:r>
        <w:rPr>
          <w:rFonts w:cs="Times New Roman" w:ascii="Times New Roman" w:hAnsi="Times New Roman"/>
          <w:b/>
          <w:i/>
          <w:lang w:eastAsia="en-CA"/>
        </w:rPr>
      </w:r>
    </w:p>
    <w:p>
      <w:pPr>
        <w:pStyle w:val="Style0"/>
        <w:spacing w:lineRule="auto" w:line="480"/>
        <w:ind w:firstLine="720" w:end="0"/>
        <w:jc w:val="both"/>
        <w:rPr/>
      </w:pPr>
      <w:r>
        <w:rPr>
          <w:rFonts w:cs="Times New Roman" w:ascii="Times New Roman" w:hAnsi="Times New Roman"/>
          <w:lang w:eastAsia="en-CA"/>
        </w:rPr>
        <w:t>All Complainants are Participants in the CalPX market, as sellers and/or buyers.  Some Complainants are generators, while others are marketers.  All have market-based rate schedules on file with and accepted by the Commission.</w:t>
      </w:r>
      <w:r>
        <w:rPr>
          <w:rFonts w:cs="Times New Roman" w:ascii="Times New Roman" w:hAnsi="Times New Roman"/>
          <w:b/>
          <w:lang w:eastAsia="en-CA"/>
        </w:rPr>
        <w:t xml:space="preserve"> </w:t>
      </w:r>
    </w:p>
    <w:p>
      <w:pPr>
        <w:pStyle w:val="Style0"/>
        <w:numPr>
          <w:ilvl w:val="0"/>
          <w:numId w:val="6"/>
        </w:numPr>
        <w:spacing w:lineRule="auto" w:line="480"/>
        <w:ind w:hanging="0" w:start="720" w:end="0"/>
        <w:rPr>
          <w:rFonts w:ascii="Times New Roman" w:hAnsi="Times New Roman" w:cs="Times New Roman"/>
          <w:b/>
          <w:i/>
          <w:i/>
          <w:lang w:eastAsia="en-CA"/>
        </w:rPr>
      </w:pPr>
      <w:r>
        <w:rPr>
          <w:rFonts w:cs="Times New Roman" w:ascii="Times New Roman" w:hAnsi="Times New Roman"/>
          <w:b/>
          <w:i/>
          <w:lang w:eastAsia="en-CA"/>
        </w:rPr>
        <w:t>Respondent</w:t>
      </w:r>
    </w:p>
    <w:p>
      <w:pPr>
        <w:pStyle w:val="Style0"/>
        <w:spacing w:lineRule="auto" w:line="480"/>
        <w:ind w:firstLine="720" w:end="0"/>
        <w:jc w:val="both"/>
        <w:rPr/>
      </w:pPr>
      <w:r>
        <w:rPr>
          <w:rFonts w:cs="Times New Roman" w:ascii="Times New Roman" w:hAnsi="Times New Roman"/>
          <w:lang w:eastAsia="en-CA"/>
        </w:rPr>
        <w:t xml:space="preserve">Respondent CalPX is a non-profit public benefit corporation, organized under the Nonprofit Public Benefit Corporation Law, Chapter 2.3, Part 1, Division 1 of the Public Utilities Code of the State of California.  The CalPX was established by California Assembly Bill 1890, 1996 Cal. Stat., ch. 854 (“AB 1890”), as part of the restructuring of the electric utility industry in California.  It is a public utility as defined in Section 201(e) of the Federal Power Act (“FPA”), 16 U.S.C. § 824(e).  </w:t>
      </w:r>
      <w:r>
        <w:rPr>
          <w:rFonts w:cs="Times New Roman" w:ascii="Times New Roman" w:hAnsi="Times New Roman"/>
          <w:i/>
          <w:lang w:eastAsia="en-CA"/>
        </w:rPr>
        <w:t>Pacific Gas and Electric Co.</w:t>
      </w:r>
      <w:r>
        <w:rPr>
          <w:rFonts w:cs="Times New Roman" w:ascii="Times New Roman" w:hAnsi="Times New Roman"/>
          <w:lang w:eastAsia="en-CA"/>
        </w:rPr>
        <w:t xml:space="preserve">, 77 FERC ¶ 61,204 at 61,805 (1996) </w:t>
      </w:r>
      <w:r>
        <w:rPr>
          <w:rFonts w:cs="Times New Roman" w:ascii="Times New Roman" w:hAnsi="Times New Roman"/>
          <w:i/>
          <w:lang w:eastAsia="en-CA"/>
        </w:rPr>
        <w:t>(“PG&amp;E I”</w:t>
      </w:r>
      <w:r>
        <w:rPr>
          <w:rFonts w:cs="Times New Roman" w:ascii="Times New Roman" w:hAnsi="Times New Roman"/>
          <w:lang w:eastAsia="en-CA"/>
        </w:rPr>
        <w:t>).  The CalPX matches buyers and sellers of electric energy in the California market pursuant to an auction that provides a market clearing price for energy.  The CalPX operates pursuant to a tariff filed with the Commission and is also a scheduling coordinator pursuant to a Scheduling Coordinator Agreement with the California Independent System Operator Corporation (“ISO”)</w:t>
      </w:r>
      <w:r>
        <w:rPr>
          <w:rFonts w:cs="Times New Roman" w:ascii="Times New Roman" w:hAnsi="Times New Roman"/>
          <w:i/>
          <w:lang w:eastAsia="en-CA"/>
        </w:rPr>
        <w:t>.  California Independent System Operator Corp.</w:t>
      </w:r>
      <w:r>
        <w:rPr>
          <w:rFonts w:cs="Times New Roman" w:ascii="Times New Roman" w:hAnsi="Times New Roman"/>
          <w:lang w:eastAsia="en-CA"/>
        </w:rPr>
        <w:t>, 82 FERC ¶ 61,174 (1998).</w:t>
      </w:r>
    </w:p>
    <w:p>
      <w:pPr>
        <w:pStyle w:val="Heading7"/>
        <w:keepNext w:val="false"/>
        <w:numPr>
          <w:ilvl w:val="0"/>
          <w:numId w:val="4"/>
        </w:numPr>
        <w:spacing w:lineRule="auto" w:line="240"/>
        <w:ind w:hanging="0" w:start="0"/>
        <w:rPr/>
      </w:pPr>
      <w:r>
        <w:rPr/>
        <w:t>SUMMARY OF COMPLAINT AND RELIEF REQUESTED</w:t>
      </w:r>
    </w:p>
    <w:p>
      <w:pPr>
        <w:pStyle w:val="Style0"/>
        <w:rPr>
          <w:rFonts w:ascii="Times New Roman" w:hAnsi="Times New Roman" w:cs="Times New Roman"/>
          <w:lang w:eastAsia="en-CA"/>
        </w:rPr>
      </w:pPr>
      <w:r>
        <w:rPr>
          <w:rFonts w:cs="Times New Roman" w:ascii="Times New Roman" w:hAnsi="Times New Roman"/>
          <w:lang w:eastAsia="en-CA"/>
        </w:rPr>
      </w:r>
    </w:p>
    <w:p>
      <w:pPr>
        <w:pStyle w:val="1Paragraph"/>
        <w:spacing w:lineRule="auto" w:line="480"/>
        <w:ind w:firstLine="720" w:end="0"/>
        <w:rPr>
          <w:lang w:eastAsia="en-CA"/>
        </w:rPr>
      </w:pPr>
      <w:r>
        <w:rPr>
          <w:lang w:eastAsia="en-CA"/>
        </w:rPr>
        <w:t>Under the default chargeback provision contained in Section 5.3 of Schedule 2 of CalPX’s tariff, CalPX allocates the defaults of CalPX Participants to remaining Participants based upon the level of trading activity of each Participant during the preceding three-month period.  CalPX has no authority under its jurisdictional tariff or otherwise to demand that Complainants and other PX Participants make “chargeback” payments to CalPX to cover the defaults of SCE and Pacific Gas and Electric Company (“PG&amp;E”) as buyers, and potentially others.  Moreover, even if CalPX’s literal reading of its Tariff were proper under certain circumstances involving relatively minor and discrete defaults, the chargeback provision of the Tariff was not intended to be implemented and cannot be implemented justly and reasonably in the current, unforeseen environment in California.  The Commission should order a standstill in which further resort to the chargeback mechanism to address SCE’s and PG&amp;E’s defaults are discontinued immediately.   Only with such a standstill in place can a lawful and orderly wind down of CalPX’s operations take place.</w:t>
      </w:r>
    </w:p>
    <w:p>
      <w:pPr>
        <w:pStyle w:val="1Paragraph"/>
        <w:spacing w:lineRule="auto" w:line="480"/>
        <w:ind w:firstLine="720" w:end="0"/>
        <w:rPr>
          <w:lang w:eastAsia="en-CA"/>
        </w:rPr>
      </w:pPr>
      <w:r>
        <w:rPr>
          <w:lang w:eastAsia="en-CA"/>
        </w:rPr>
        <w:t xml:space="preserve">Chargeback is a previously rarely used form of self-insurance designed to allow the CalPX — a nonprofit California public-benefits corporation that functions as a pass-through vehicle — to recover the uncollectible receivables of a defaulting CalPX debtor from the remaining sellers into the CalPX market.  As approved by the Commission, the chargeback mechanism was expected to be used principally to secure the delivery of energy into the CalPX market, not to recoup large defaults by CalPX’s utility buyers.   In the current environment in which CalPX’s largest debtors — SCE and PG&amp;E — are insolvent, rather than being invoked sparingly to ensure the delivery of energy, the chargeback mechanism is being used by CalPX indiscriminately as the principal means for recovering the uncollectible receivables of the large buyers in its markets.  </w:t>
      </w:r>
    </w:p>
    <w:p>
      <w:pPr>
        <w:pStyle w:val="Normal"/>
        <w:spacing w:lineRule="auto" w:line="480"/>
        <w:ind w:firstLine="720" w:end="0"/>
        <w:jc w:val="both"/>
        <w:rPr>
          <w:sz w:val="24"/>
        </w:rPr>
      </w:pPr>
      <w:r>
        <w:rPr>
          <w:sz w:val="24"/>
        </w:rPr>
        <w:t>In addition to being applied for purposes never intended, CalPX is also invoking the chargeback mechanism in an iterative way not authorized by the CalPX tariff.  This means that not only are initial defaults of a CalPX debtor charged back, but defaults by other Participants on chargebacks are also being charged back.  A similar practice produced an untenable scenario in the savings and loan debacle of the 1980s, known as a “death spiral” that ends only when it reaches “the last man standing.”  Such a practice must not be allowed to destabilize further the California power supply sector, which it will unless unauthorized chargebacks of the utilities' defaults are ordered halted immediately.</w:t>
      </w:r>
    </w:p>
    <w:p>
      <w:pPr>
        <w:pStyle w:val="Normal"/>
        <w:spacing w:lineRule="auto" w:line="480"/>
        <w:ind w:firstLine="720" w:end="0"/>
        <w:jc w:val="both"/>
        <w:rPr>
          <w:sz w:val="24"/>
        </w:rPr>
      </w:pPr>
      <w:r>
        <w:rPr>
          <w:sz w:val="24"/>
        </w:rPr>
        <w:t xml:space="preserve">Moreover, in implementing chargebacks, the CalPX has informed CalPX Participants that it will commingle its own collection procedures with those of the ISO in a manner that is additionally unjust and unreasonable and not authorized in either entity's jurisdictional tariffs.  Specifically, the CalPX, which is supposed to act merely as a collection agent for the ISO, is mistakenly applying the chargeback provision from the CalPX's Tariff, which is proportional to how much a creditor has sold into the CalPX in the past three months, to recover defaults to the ISO (with the CalPX acting as Scheduling Coordinator) despite the fact that the ISO Tariff establishes the rules for all jurisdictional transactions involving ISO services.  This produces a result that has no basis in law:  sellers into CalPX markets are being compelled to pay debts properly allocable to ISO debtors. </w:t>
      </w:r>
    </w:p>
    <w:p>
      <w:pPr>
        <w:pStyle w:val="Normal"/>
        <w:spacing w:lineRule="auto" w:line="480"/>
        <w:ind w:firstLine="720" w:end="0"/>
        <w:jc w:val="both"/>
        <w:rPr>
          <w:sz w:val="24"/>
        </w:rPr>
      </w:pPr>
      <w:r>
        <w:rPr>
          <w:sz w:val="24"/>
        </w:rPr>
        <w:t>Finally, chargebacks should also be immediately discontinued because they are being invoked by the CalPX before preconditions required by the CalPX tariff have been satisfied.  Specifically, the CalPX tariff requires that before chargeback is permissible the CalPX must take a sequence of other steps intended to prevent or mitigate the need for chargeback in all but the most infrequent circumstances.  Today, CalPX is applying chargeback before exhausting those mitigation steps.  Indeed, California Governor Davis' recent seizure of SCE's and PG&amp;E's block forward market contracts has made it (at least temporarily) impossible to mitigate the utilities' defaults, as required by the CalPX tariff, against the proceeds of those contracts.  Rather than an orderly and fair dissolution, this has caused a fire sale. Looters are carrying off the furniture while the building burns to the ground.  The Commission must put out the fire by ordering the requested standstill, proceed to an orderly dissolution of the CalPX, and resolve all remaining issues under its Tariff.</w:t>
      </w:r>
    </w:p>
    <w:p>
      <w:pPr>
        <w:pStyle w:val="Normal"/>
        <w:spacing w:lineRule="auto" w:line="480"/>
        <w:ind w:firstLine="720" w:end="0"/>
        <w:jc w:val="both"/>
        <w:rPr>
          <w:sz w:val="24"/>
        </w:rPr>
      </w:pPr>
      <w:r>
        <w:rPr>
          <w:sz w:val="24"/>
        </w:rPr>
        <w:t>Once a standstill is in place and all chargebacks of SCE and PG&amp;E defaults have been suspended, Complainants ask the Commission to then convene further proceedings to resolve all remaining issues under CalPX's Tariff in an orderly manner.</w:t>
      </w:r>
    </w:p>
    <w:p>
      <w:pPr>
        <w:pStyle w:val="1Paragraph"/>
        <w:jc w:val="center"/>
        <w:rPr>
          <w:b/>
        </w:rPr>
      </w:pPr>
      <w:r>
        <w:rPr>
          <w:b/>
        </w:rPr>
        <w:t>IV.</w:t>
        <w:tab/>
      </w:r>
      <w:r>
        <w:rPr>
          <w:b/>
          <w:sz w:val="28"/>
        </w:rPr>
        <w:t>STATEMENT OF FACTS</w:t>
      </w:r>
    </w:p>
    <w:p>
      <w:pPr>
        <w:pStyle w:val="1Paragraph"/>
        <w:jc w:val="center"/>
        <w:rPr>
          <w:b/>
        </w:rPr>
      </w:pPr>
      <w:r>
        <w:rPr>
          <w:b/>
        </w:rPr>
      </w:r>
    </w:p>
    <w:p>
      <w:pPr>
        <w:pStyle w:val="FootnoteText"/>
        <w:spacing w:lineRule="auto" w:line="480"/>
        <w:jc w:val="both"/>
        <w:rPr/>
      </w:pPr>
      <w:r>
        <w:rPr>
          <w:sz w:val="24"/>
        </w:rPr>
        <w:tab/>
        <w:t>1.</w:t>
        <w:tab/>
        <w:t xml:space="preserve">This complaint has its roots in the electric restructuring scheme implemented by California in 1996.  As approved by the Commission, that scheme provided for the establishment of the CalPX, a non-profit corporation that conducts auctions for wholesale electricity. </w:t>
      </w:r>
      <w:r>
        <w:rPr>
          <w:i/>
          <w:sz w:val="24"/>
        </w:rPr>
        <w:t xml:space="preserve">See Pacific Gas &amp; Electric Co., </w:t>
      </w:r>
      <w:r>
        <w:rPr>
          <w:sz w:val="24"/>
        </w:rPr>
        <w:t>77 FERC ¶ 61,204 (1996);</w:t>
      </w:r>
      <w:r>
        <w:rPr>
          <w:i/>
          <w:sz w:val="24"/>
        </w:rPr>
        <w:t xml:space="preserve">  Pacific Gas &amp; Electric Co.</w:t>
      </w:r>
      <w:r>
        <w:rPr>
          <w:sz w:val="24"/>
        </w:rPr>
        <w:t>, 77 FERC ¶ 61,265 (1996);</w:t>
      </w:r>
      <w:r>
        <w:rPr>
          <w:i/>
          <w:sz w:val="24"/>
        </w:rPr>
        <w:t xml:space="preserve">  Pacific Gas &amp; Electric Co.</w:t>
      </w:r>
      <w:r>
        <w:rPr>
          <w:sz w:val="24"/>
        </w:rPr>
        <w:t>, 81 FERC ¶ 61,122 (1997).  That scheme also required that the three investor-owned utilities (“IOUs”) in California – PG&amp;E, SCE, and San Diego Gas &amp; Electric Company (“SDG&amp;E”) – sell off their fossil-fueled generating capacity, sell all of their remaining generating capacity into the CalPX, purchase all of their supply requirements from the CalPX, and make retail sales at rates that would be frozen for the earlier of four years or until their respective stranded costs were extinguished.  A.B. 1890, 1996 Cal. Stat, ch. 854.</w:t>
      </w:r>
    </w:p>
    <w:p>
      <w:pPr>
        <w:pStyle w:val="Normal"/>
        <w:spacing w:lineRule="auto" w:line="480"/>
        <w:ind w:firstLine="720" w:end="0"/>
        <w:jc w:val="both"/>
        <w:rPr>
          <w:sz w:val="24"/>
        </w:rPr>
      </w:pPr>
      <w:r>
        <w:rPr>
          <w:sz w:val="24"/>
        </w:rPr>
        <w:t>2.</w:t>
        <w:tab/>
        <w:t xml:space="preserve">This scheme has proven to be financially disastrous for SCE and PG&amp;E over the past several months.  As wholesale rates in the CalPX have risen beyond the levels of the retail rate freeze imposed on the California IOUs, those utilities have been forced to incur substantial losses in order to procure the electricity necessary to serve their retail customers.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rFonts w:ascii="Times New Roman" w:hAnsi="Times New Roman" w:cs="Times New Roman"/>
          <w:lang w:eastAsia="en-CA"/>
        </w:rPr>
      </w:pPr>
      <w:r>
        <w:rPr>
          <w:lang w:eastAsia="en-CA"/>
        </w:rPr>
        <w:tab/>
      </w:r>
      <w:r>
        <w:rPr>
          <w:rFonts w:cs="Times New Roman" w:ascii="Times New Roman" w:hAnsi="Times New Roman"/>
          <w:lang w:eastAsia="en-CA"/>
        </w:rPr>
        <w:t>3.</w:t>
      </w:r>
      <w:r>
        <w:rPr>
          <w:lang w:eastAsia="en-CA"/>
        </w:rPr>
        <w:tab/>
      </w:r>
      <w:r>
        <w:rPr>
          <w:rFonts w:cs="Times New Roman" w:ascii="Times New Roman" w:hAnsi="Times New Roman"/>
        </w:rPr>
        <w:t>SCE has now defaulted on an invoice from the CalPX dated January 9, 2001, in the amount of $214,518,409, relating to transactions in the CalPX Day</w:t>
        <w:noBreakHyphen/>
        <w:t>Of/Day</w:t>
        <w:noBreakHyphen/>
        <w:t>Ahead Markets.  On January 18, 2001, the CalPX invoiced Complainants and other non</w:t>
        <w:noBreakHyphen/>
        <w:t>defaulting Market Participants for their proportionate shares of this shortfall under the chargeback methodology set forth in Schedule 2, Section 5.3 of the CalPX Tariff.  On January 26, 2001, PG&amp;E and five other CalPX Participants refused to pay these chargeback amounts, and the CalPX has now threatened to assess chargebacks of these chargeback “defaults” against the remaining CalPX Participants.</w:t>
      </w:r>
    </w:p>
    <w:p>
      <w:pPr>
        <w:pStyle w:val="1Paragraph"/>
        <w:tabs>
          <w:tab w:val="left" w:pos="720" w:leader="none"/>
          <w:tab w:val="left" w:pos="1440" w:leader="none"/>
        </w:tabs>
        <w:spacing w:lineRule="auto" w:line="480"/>
        <w:rPr>
          <w:lang w:eastAsia="en-CA"/>
        </w:rPr>
      </w:pPr>
      <w:r>
        <w:rPr>
          <w:lang w:eastAsia="en-CA"/>
        </w:rPr>
        <w:tab/>
        <w:t>4.</w:t>
        <w:tab/>
      </w:r>
      <w:r>
        <w:rPr>
          <w:color w:val="000000"/>
        </w:rPr>
        <w:t>The CalPX acts as Scheduling Coordinator for the ISO with respect to the ISO's real</w:t>
        <w:noBreakHyphen/>
        <w:t>time imbalance energy purchases.  Both SCE and PG&amp;E have now refused to pay, in whole and in substantial part, respectively, invoices from the CalPX sent on February 2, 2001, tendered on behalf of the ISO.  The combined shortfall amount from these two defaults exceeds of  $1 billion.  The CalPX has now advised certain CalPX Participants that it intends to use the same chargeback procedures of the CalPX Tariff to recover these shortfalls from CalPX Participants, which, in the aggregate, amount to 98.2% of the invoice tendered by the CalPX on behalf of the ISO.</w:t>
      </w:r>
    </w:p>
    <w:p>
      <w:pPr>
        <w:pStyle w:val="1Paragraph"/>
        <w:numPr>
          <w:ilvl w:val="0"/>
          <w:numId w:val="5"/>
        </w:numPr>
        <w:tabs>
          <w:tab w:val="left" w:pos="720" w:leader="none"/>
          <w:tab w:val="left" w:pos="1440" w:leader="none"/>
        </w:tabs>
        <w:spacing w:lineRule="auto" w:line="480"/>
        <w:ind w:hanging="0" w:start="0" w:end="0"/>
        <w:rPr/>
      </w:pPr>
      <w:r>
        <w:rPr/>
        <w:t>5.</w:t>
        <w:tab/>
        <w:t>In addition, s</w:t>
      </w:r>
      <w:r>
        <w:rPr>
          <w:color w:val="000000"/>
        </w:rPr>
        <w:t>ubstantial sums remain to be collected by the CalPX for its January 2001 transactions in the CalPX Trading Services (“CTS”) Block Forward and Core Market markets, and more than $1.5 billion of ISO transactions for December 2000 and January 2001 remain outstanding.  If SCE and PG&amp;E continue to default on their payments, virtually all of these amounts will be charged back to CalPX Participants under the CalPX's present approach.</w:t>
      </w:r>
    </w:p>
    <w:p>
      <w:pPr>
        <w:pStyle w:val="Normal"/>
        <w:spacing w:lineRule="auto" w:line="480"/>
        <w:ind w:firstLine="720" w:end="0"/>
        <w:jc w:val="both"/>
        <w:rPr>
          <w:sz w:val="24"/>
        </w:rPr>
      </w:pPr>
      <w:r>
        <w:rPr>
          <w:sz w:val="24"/>
        </w:rPr>
        <w:t>6.</w:t>
        <w:tab/>
        <w:t>According to the CalPX, Section 5.3 of Schedule 2 of the CalPX Tariff allows it to require sellers to bear the losses incurred when large purchasers like SCE and PG&amp;E default on their payment obligations.  Section 5.3 provides:</w:t>
      </w:r>
    </w:p>
    <w:p>
      <w:pPr>
        <w:pStyle w:val="Normal"/>
        <w:ind w:start="1440" w:end="1440"/>
        <w:jc w:val="both"/>
        <w:rPr>
          <w:sz w:val="24"/>
        </w:rPr>
      </w:pPr>
      <w:r>
        <w:rPr>
          <w:b/>
          <w:sz w:val="24"/>
        </w:rPr>
        <w:t>5.3</w:t>
        <w:tab/>
        <w:t>CalPX Core Market Proportional Chargeback Methodology</w:t>
      </w:r>
    </w:p>
    <w:p>
      <w:pPr>
        <w:pStyle w:val="Normal"/>
        <w:ind w:start="1440" w:end="1440"/>
        <w:jc w:val="both"/>
        <w:rPr>
          <w:sz w:val="24"/>
        </w:rPr>
      </w:pPr>
      <w:r>
        <w:rPr>
          <w:sz w:val="24"/>
        </w:rPr>
      </w:r>
    </w:p>
    <w:p>
      <w:pPr>
        <w:pStyle w:val="Normal"/>
        <w:ind w:start="1440" w:end="1440"/>
        <w:jc w:val="both"/>
        <w:rPr>
          <w:sz w:val="24"/>
        </w:rPr>
      </w:pPr>
      <w:r>
        <w:rPr>
          <w:sz w:val="24"/>
        </w:rPr>
        <w:t xml:space="preserve">In the event that amounts owed to the PX Participants on a payout date cannot be fully paid due to an insufficiency of funds in the PX clearing accounts, the PX will allocate the shortage to the PX Participants using the proportional chargeback methodology described below… </w:t>
      </w:r>
    </w:p>
    <w:p>
      <w:pPr>
        <w:pStyle w:val="Normal"/>
        <w:ind w:start="1440" w:end="1440"/>
        <w:jc w:val="both"/>
        <w:rPr>
          <w:sz w:val="24"/>
        </w:rPr>
      </w:pPr>
      <w:r>
        <w:rPr>
          <w:sz w:val="24"/>
        </w:rPr>
      </w:r>
    </w:p>
    <w:p>
      <w:pPr>
        <w:pStyle w:val="Normal"/>
        <w:ind w:start="1440" w:end="1440"/>
        <w:jc w:val="both"/>
        <w:rPr/>
      </w:pPr>
      <w:r>
        <w:rPr>
          <w:sz w:val="24"/>
          <w:u w:val="single"/>
        </w:rPr>
        <w:t>Default chargeback to PX CORE MARKET Participants shall be assessed using the following methodology</w:t>
      </w:r>
      <w:r>
        <w:rPr>
          <w:sz w:val="24"/>
        </w:rPr>
        <w:t>:</w:t>
      </w:r>
    </w:p>
    <w:p>
      <w:pPr>
        <w:pStyle w:val="Normal"/>
        <w:ind w:start="1440" w:end="1440"/>
        <w:jc w:val="both"/>
        <w:rPr>
          <w:sz w:val="24"/>
        </w:rPr>
      </w:pPr>
      <w:r>
        <w:rPr>
          <w:sz w:val="24"/>
        </w:rPr>
      </w:r>
    </w:p>
    <w:p>
      <w:pPr>
        <w:pStyle w:val="Normal"/>
        <w:ind w:start="1440" w:end="1440"/>
        <w:jc w:val="both"/>
        <w:rPr>
          <w:sz w:val="24"/>
        </w:rPr>
      </w:pPr>
      <w:r>
        <w:rPr>
          <w:sz w:val="24"/>
        </w:rPr>
        <w:t>The PX Participant’s outstanding default amount will be charged back to all current PX Participants based upon the percentage of its gross sales in MWhs to the total gross MWhs sales in the Core Market during the three calendar months preceding the event plus the current month-to date.</w:t>
      </w:r>
    </w:p>
    <w:p>
      <w:pPr>
        <w:pStyle w:val="Normal"/>
        <w:tabs>
          <w:tab w:val="clear" w:pos="720"/>
          <w:tab w:val="left" w:pos="7020" w:leader="none"/>
        </w:tabs>
        <w:jc w:val="both"/>
        <w:rPr>
          <w:sz w:val="24"/>
        </w:rPr>
      </w:pPr>
      <w:r>
        <w:rPr>
          <w:sz w:val="24"/>
        </w:rPr>
      </w:r>
    </w:p>
    <w:p>
      <w:pPr>
        <w:pStyle w:val="Normal"/>
        <w:spacing w:lineRule="auto" w:line="480"/>
        <w:jc w:val="both"/>
        <w:rPr>
          <w:sz w:val="24"/>
        </w:rPr>
      </w:pPr>
      <w:r>
        <w:rPr>
          <w:sz w:val="24"/>
        </w:rPr>
        <w:tab/>
        <w:t>7.</w:t>
        <w:tab/>
        <w:t>Section 5.3 was added to the CalPX Tariff in June 2000 as a part of a revision of the CalPX's credit standards and policies.  The revisions were intended to facilitate trading in the CalPX markets by removing barriers to entry into those markets.  The proposal on loss allocation and chargebacks was apparently modeled on the practice used in daily settlements by the Depository Trust Company (“DTC”), a securities clearing agency whose rules provide for chargebacks to its participant banks and brokerage houses.  CalPX drew a misguided parallel between the DTC, where conditions are generally appropriate for settlements of the type provided for by Section 5.3, and its own markets, which are not appropriate for those types of settlements because of the fact that they were designed primarily to serve only three large purchasers and sellers – SDG&amp;E, SCE, and PG&amp;E.</w:t>
      </w:r>
    </w:p>
    <w:p>
      <w:pPr>
        <w:pStyle w:val="Normal"/>
        <w:spacing w:lineRule="auto" w:line="480"/>
        <w:jc w:val="both"/>
        <w:rPr/>
      </w:pPr>
      <w:r>
        <w:rPr>
          <w:sz w:val="24"/>
        </w:rPr>
        <w:tab/>
        <w:t>8.</w:t>
        <w:tab/>
        <w:t xml:space="preserve">The Commission issued an order last summer accepting the proposed revisions to the CalPX's credit and payment policies.  </w:t>
      </w:r>
      <w:r>
        <w:rPr>
          <w:i/>
          <w:sz w:val="24"/>
        </w:rPr>
        <w:t>See California Power Exchange Corp.</w:t>
      </w:r>
      <w:r>
        <w:rPr>
          <w:sz w:val="24"/>
        </w:rPr>
        <w:t>, 92 FERC ¶ 61,096 (2000).  In that acceptance, the Commission clarified the sequence of steps that the CalPX must follow before implementing chargebacks:</w:t>
      </w:r>
    </w:p>
    <w:p>
      <w:pPr>
        <w:pStyle w:val="Normal"/>
        <w:ind w:start="1440" w:end="1440"/>
        <w:jc w:val="both"/>
        <w:rPr/>
      </w:pPr>
      <w:r>
        <w:rPr>
          <w:sz w:val="24"/>
        </w:rPr>
        <w:t xml:space="preserve">Prior to settlement of the real-time invoice, CalPX would increase the defaulting party's collateral requirement to cover the performance default amount.  If the party then fails to pay its invoice, CalPX could take enforcement action against the defaulting party by taking its collateral.  If such company-specific enforcement actions are still inadequate, the Core Market Pool Performance Surety Bond would apply to the default according to the ratio of liability in each Market.  </w:t>
      </w:r>
      <w:r>
        <w:rPr>
          <w:i/>
          <w:sz w:val="24"/>
        </w:rPr>
        <w:t>Only when all of these actions have failed would . . .</w:t>
      </w:r>
      <w:r>
        <w:rPr>
          <w:sz w:val="24"/>
        </w:rPr>
        <w:t xml:space="preserve"> other Participants be exposed to pro-rata chargeback procedures in the Core Market. </w:t>
      </w:r>
    </w:p>
    <w:p>
      <w:pPr>
        <w:pStyle w:val="Normal"/>
        <w:ind w:start="1440" w:end="1440"/>
        <w:jc w:val="both"/>
        <w:rPr>
          <w:sz w:val="24"/>
        </w:rPr>
      </w:pPr>
      <w:r>
        <w:rPr>
          <w:sz w:val="24"/>
        </w:rPr>
      </w:r>
    </w:p>
    <w:p>
      <w:pPr>
        <w:pStyle w:val="BodyText"/>
        <w:jc w:val="both"/>
        <w:rPr>
          <w:i/>
          <w:i/>
        </w:rPr>
      </w:pPr>
      <w:r>
        <w:rPr>
          <w:i/>
        </w:rPr>
        <w:t>Id.</w:t>
      </w:r>
      <w:r>
        <w:rPr/>
        <w:t xml:space="preserve"> at 61,378-79 (emphasis added).</w:t>
      </w:r>
    </w:p>
    <w:p>
      <w:pPr>
        <w:pStyle w:val="BodyText"/>
        <w:ind w:firstLine="720" w:end="0"/>
        <w:jc w:val="both"/>
        <w:rPr/>
      </w:pPr>
      <w:r>
        <w:rPr/>
        <w:t>9.</w:t>
        <w:tab/>
        <w:t>Since the Commission's conditional acceptance of the chargeback provision, CalPX has indicated that it intends to apply it not only to defaults by its own debtors, but has also  stated that it will apply it to recover the defaults of ISO debtors.  This will result in applying the chargeback allocation formula from its own tariff to the ISO defaults.  In other words, CalPX will charge back ISO defaults to the suppliers of power to CalPX based upon their relative share of sales into CalPX.</w:t>
      </w:r>
    </w:p>
    <w:p>
      <w:pPr>
        <w:pStyle w:val="Heading6"/>
        <w:spacing w:lineRule="auto" w:line="240"/>
        <w:ind w:hanging="0" w:start="0"/>
        <w:rPr/>
      </w:pPr>
      <w:r>
        <w:rPr/>
        <w:t>V.</w:t>
        <w:tab/>
      </w:r>
      <w:r>
        <w:rPr>
          <w:sz w:val="28"/>
        </w:rPr>
        <w:t>NECESSITY OF FASTTRACK PROCESSING</w:t>
      </w:r>
    </w:p>
    <w:p>
      <w:pPr>
        <w:pStyle w:val="Normal"/>
        <w:rPr>
          <w:sz w:val="24"/>
        </w:rPr>
      </w:pPr>
      <w:r>
        <w:rPr>
          <w:sz w:val="24"/>
        </w:rPr>
      </w:r>
    </w:p>
    <w:p>
      <w:pPr>
        <w:pStyle w:val="Normal"/>
        <w:spacing w:lineRule="auto" w:line="480"/>
        <w:ind w:firstLine="720" w:end="0"/>
        <w:jc w:val="both"/>
        <w:rPr>
          <w:sz w:val="24"/>
        </w:rPr>
      </w:pPr>
      <w:r>
        <w:rPr>
          <w:sz w:val="24"/>
        </w:rPr>
        <w:t>10.</w:t>
        <w:tab/>
        <w:t xml:space="preserve">The CalPX's attempts to impose chargebacks on Complainants and other sellers into the CalPX markets is inflicting an immediate and devastating blow to electricity markets throughout the West. Chargebacks for the enormous liabilities of SCE and PG&amp;E pose an imminent threat to the financial viability of many power suppliers whose uninterrupted services the region so badly needs. To arrest these injuries before they cause irreparable harm requires expedited Commission intervention to suspend the Chargeback.  </w:t>
      </w:r>
    </w:p>
    <w:p>
      <w:pPr>
        <w:pStyle w:val="Normal"/>
        <w:spacing w:lineRule="auto" w:line="480"/>
        <w:ind w:firstLine="720" w:end="0"/>
        <w:jc w:val="both"/>
        <w:rPr>
          <w:sz w:val="24"/>
        </w:rPr>
      </w:pPr>
      <w:r>
        <w:rPr>
          <w:sz w:val="24"/>
        </w:rPr>
        <w:t>11.</w:t>
        <w:tab/>
        <w:t>It is Complainants' understanding that chargeback invoices for SCE and PG&amp;E defaults in the ISO market, totaling hundreds of millions of dollars, will be sent out today, February 8, 2001, and will be payable by Thursday, February 15, 2001.  It is therefore imperative that the Commission order a standstill no later than Wednesday, February, 14, 2001.  (If Complainants become aware of any change to these dates, we will inform the Commission immediately in a supplemental pleading.)</w:t>
      </w:r>
    </w:p>
    <w:p>
      <w:pPr>
        <w:pStyle w:val="Normal"/>
        <w:spacing w:lineRule="auto" w:line="480"/>
        <w:ind w:firstLine="720" w:end="0"/>
        <w:jc w:val="both"/>
        <w:rPr/>
      </w:pPr>
      <w:r>
        <w:rPr>
          <w:sz w:val="24"/>
        </w:rPr>
        <w:t>12.</w:t>
        <w:tab/>
        <w:t>These disputes involve enormous sums that are mushrooming daily.  Standard Commission processes for resolving disputes cannot timely resolve the gravamen of this complaint.  Unless the Commission implements the fast-track procedures provided for in 18 C.F.R. §385. 206(h), and issues an immediate suspension pending its review (</w:t>
      </w:r>
      <w:r>
        <w:rPr>
          <w:i/>
          <w:sz w:val="24"/>
        </w:rPr>
        <w:t>see</w:t>
      </w:r>
      <w:r>
        <w:rPr>
          <w:sz w:val="24"/>
        </w:rPr>
        <w:t xml:space="preserve"> Part VII, </w:t>
      </w:r>
      <w:r>
        <w:rPr>
          <w:i/>
          <w:sz w:val="24"/>
        </w:rPr>
        <w:t>infra.</w:t>
      </w:r>
      <w:r>
        <w:rPr>
          <w:sz w:val="24"/>
        </w:rPr>
        <w:t>), irreparable injury to Complainants as well as electricity markets throughout the West will result. For these reasons, it is imperative that the Commission resolve the disputes surrounding the chargeback mechanism, and do so on an expedited basis.</w:t>
      </w:r>
    </w:p>
    <w:p>
      <w:pPr>
        <w:pStyle w:val="Normal"/>
        <w:spacing w:lineRule="auto" w:line="480"/>
        <w:ind w:firstLine="720" w:end="0"/>
        <w:jc w:val="both"/>
        <w:rPr>
          <w:sz w:val="24"/>
        </w:rPr>
      </w:pPr>
      <w:r>
        <w:rPr>
          <w:sz w:val="24"/>
        </w:rPr>
        <w:t>13.</w:t>
        <w:tab/>
        <w:t>In accordance with 18 C.F.R. § 385.206(b)(9), Complainants state the following:  certain of Complainants held discussions with CalPX in an attempt to resolve this matter.  Those discussions provided no relief.  Accordingly, Complainants conclude that this matter is not susceptible to resolution pursuant to alternative dispute resolution or other informal dispute resolution procedures.</w:t>
      </w:r>
    </w:p>
    <w:p>
      <w:pPr>
        <w:pStyle w:val="Heading6"/>
        <w:ind w:hanging="0" w:start="0"/>
        <w:rPr/>
      </w:pPr>
      <w:r>
        <w:rPr/>
        <w:t>VI.</w:t>
        <w:tab/>
      </w:r>
      <w:r>
        <w:rPr>
          <w:sz w:val="28"/>
        </w:rPr>
        <w:t>COUNTS</w:t>
      </w:r>
    </w:p>
    <w:p>
      <w:pPr>
        <w:pStyle w:val="BodyText"/>
        <w:numPr>
          <w:ilvl w:val="0"/>
          <w:numId w:val="3"/>
        </w:numPr>
        <w:spacing w:lineRule="auto" w:line="240"/>
        <w:jc w:val="both"/>
        <w:rPr>
          <w:b/>
          <w:i/>
          <w:i/>
          <w:sz w:val="26"/>
        </w:rPr>
      </w:pPr>
      <w:r>
        <w:rPr>
          <w:b/>
          <w:i/>
          <w:sz w:val="26"/>
        </w:rPr>
        <w:t>Count 1:  Operation of the Chargeback Provision in the Current California Environment is Unjust and Unreasonable</w:t>
      </w:r>
    </w:p>
    <w:p>
      <w:pPr>
        <w:pStyle w:val="BodyText"/>
        <w:spacing w:lineRule="auto" w:line="240"/>
        <w:ind w:start="720" w:end="0"/>
        <w:jc w:val="both"/>
        <w:rPr>
          <w:b/>
          <w:i/>
          <w:i/>
          <w:sz w:val="26"/>
        </w:rPr>
      </w:pPr>
      <w:r>
        <w:rPr>
          <w:b/>
          <w:i/>
          <w:sz w:val="26"/>
        </w:rPr>
      </w:r>
    </w:p>
    <w:p>
      <w:pPr>
        <w:pStyle w:val="BodyText"/>
        <w:ind w:firstLine="720" w:end="0"/>
        <w:jc w:val="both"/>
        <w:rPr/>
      </w:pPr>
      <w:r>
        <w:rPr/>
        <w:t>14.</w:t>
        <w:tab/>
        <w:t>Complainants incorporate paragraphs 1 through 9.</w:t>
      </w:r>
    </w:p>
    <w:p>
      <w:pPr>
        <w:pStyle w:val="BodyText"/>
        <w:ind w:firstLine="720" w:end="0"/>
        <w:jc w:val="both"/>
        <w:rPr/>
      </w:pPr>
      <w:r>
        <w:rPr/>
        <w:t>15.</w:t>
        <w:tab/>
        <w:t xml:space="preserve">Application of Section 5.3 in Schedule 2 of the CalPX tariff in the current, precarious circumstances of California's power market exacerbates the existing crisis, and produces results that are not only unjust and unreasonable, but disastrous.  The provisions of Section 5.3 were never intended to make suppliers of wholesale energy to SCE and PG&amp;E into guarantors of the utilities' payment obligations.  The bizarre consequences of applying the CalPX Tariff in the present crisis are reflected in PG&amp;E's Emergency Filing in Docket No. ER01-1045-000.  Itself teetering on the edge of bankruptcy, PG&amp;E has been invoiced by the CalPX for SCE’s defaults in amounts exceeding $101,000,000, and PG&amp;E has refused payment.  Although CalPX has apparently netted the resulting shortfall against amounts that CalPX owes to PG&amp;E, successive PG&amp;E defaults for December and January presumably will be charged back against non-defaulting creditors.  </w:t>
      </w:r>
    </w:p>
    <w:p>
      <w:pPr>
        <w:pStyle w:val="BodyText"/>
        <w:ind w:firstLine="720" w:end="0"/>
        <w:jc w:val="both"/>
        <w:rPr/>
      </w:pPr>
      <w:r>
        <w:rPr/>
        <w:t>16.</w:t>
        <w:tab/>
        <w:t>Charging back the massive defaults of SCE and PG&amp;E through the entire market  will result in a cascade that threatens the financial integrity of many power suppliers desperately needed by California, and thus will unfairly penalize all.  The chargebacks are already expanding as CalPX Participants refuse them and are treated by the CalPX as defaulters. If this process continues, chargebacks will eventually accumulate against a shrinking pool of Participants.  The CalPX has advised certain CalPX Participants that the last of the CalPX Participants - “the last man standing” - will be charged back for the market’s total defaults.  Under a proper interpretation of the Tariff, the CalPX would be unable to recover escalating defaults from non-defaulting CalPX Participants.  In addition, if the CalPX is permitted to continue its current, unauthorized chargeback practice, it will not recover all defaulted amounts as the remaining CalPX Participants increasingly refuse to pay, and CalPX's attempt to recover such amounts through the chargeback mechanism will therefore result in irreparable harm to CalPX Participants and the market.</w:t>
      </w:r>
    </w:p>
    <w:p>
      <w:pPr>
        <w:pStyle w:val="Normal"/>
        <w:spacing w:lineRule="auto" w:line="480"/>
        <w:jc w:val="both"/>
        <w:rPr/>
      </w:pPr>
      <w:r>
        <w:rPr>
          <w:sz w:val="24"/>
        </w:rPr>
        <w:tab/>
        <w:t>17.</w:t>
        <w:tab/>
        <w:t xml:space="preserve">This absurd result was not what the Commission intended when it accepted the chargeback provision in its July 28, 2000, order.  To the contrary, the chargeback provision was presented to the Commission as part of the CalPX's comprehensive solution to credit and security problems under its tariff. </w:t>
      </w:r>
      <w:r>
        <w:rPr>
          <w:i/>
          <w:sz w:val="24"/>
        </w:rPr>
        <w:t>See</w:t>
      </w:r>
      <w:r>
        <w:rPr>
          <w:sz w:val="24"/>
        </w:rPr>
        <w:t xml:space="preserve"> Letter from James H. McGrew to the Secretary David Boergers dated June 7, 2000, ER00-2736-000.  The CalPX represented that its new credit policy was “based on a comprehensive study of industry standards and extensive input from CalPX’s stakeholders.” </w:t>
      </w:r>
      <w:r>
        <w:rPr>
          <w:i/>
          <w:sz w:val="24"/>
        </w:rPr>
        <w:t>Id</w:t>
      </w:r>
      <w:r>
        <w:rPr>
          <w:sz w:val="24"/>
        </w:rPr>
        <w:t xml:space="preserve">. The intent was benevolent: to attract supply into the markets operated by the CalPX by removing barriers to entry caused by the then-existing requirement that sellers with unapproved credit ratings post securities equal to 46 days of trading activity.  </w:t>
      </w:r>
    </w:p>
    <w:p>
      <w:pPr>
        <w:pStyle w:val="Normal"/>
        <w:spacing w:lineRule="auto" w:line="480"/>
        <w:ind w:firstLine="720" w:end="0"/>
        <w:jc w:val="both"/>
        <w:rPr/>
      </w:pPr>
      <w:r>
        <w:rPr>
          <w:sz w:val="24"/>
        </w:rPr>
        <w:t>18.</w:t>
        <w:tab/>
        <w:t xml:space="preserve">The proposed chargeback methodology, which was recommended to the CalPX by a consulting firm, was modeled on the practice used in daily settlements by DTC, the nation’s leading securities clearing agency, whose rules provide for </w:t>
      </w:r>
      <w:r>
        <w:rPr>
          <w:i/>
          <w:sz w:val="24"/>
        </w:rPr>
        <w:t>pro rata</w:t>
      </w:r>
      <w:r>
        <w:rPr>
          <w:sz w:val="24"/>
        </w:rPr>
        <w:t xml:space="preserve"> chargebacks to the banks and brokerage houses that constitute its participants.  The chargebacks are used to recover amounts necessary to cover credits for payments to be made at the end of each day if the DTC lacks sufficient funds on hand to cover the credits.  This practice is contained in rules of the DTC, a self-regulating organization under the Securities Exchange Act, which have been approved by the Securities and Exchange Commission.  SEC Release No. 34-24893, 1987 SEC LEXIS 3767 (Sept. 9, 1987).</w:t>
      </w:r>
    </w:p>
    <w:p>
      <w:pPr>
        <w:pStyle w:val="Normal"/>
        <w:spacing w:lineRule="auto" w:line="480"/>
        <w:jc w:val="both"/>
        <w:rPr/>
      </w:pPr>
      <w:r>
        <w:rPr>
          <w:sz w:val="24"/>
        </w:rPr>
        <w:tab/>
        <w:t>19.</w:t>
        <w:tab/>
        <w:t xml:space="preserve">Contrary to DTC markets, CalPX markets were principally created to serve three large purchasers and sellers, SDG&amp;E, SCE and PG&amp;E, who dominate the market far more than any single DTC participant.  Indeed, under the requirements of California law, A.B. 1890, the utilities were required to purchase their entire wholesale power requirements, and sell surplus power, through CalPX.  As a result, SDG&amp;E, SCE, PG&amp;E account for approximately 80-90% of CalPX purchases and CalPX sales.  In response to the ruinous effects of this requirement, California repealed it on February 1, 2001.  </w:t>
      </w:r>
      <w:r>
        <w:rPr>
          <w:i/>
          <w:sz w:val="24"/>
        </w:rPr>
        <w:t xml:space="preserve">See </w:t>
      </w:r>
      <w:r>
        <w:rPr>
          <w:sz w:val="24"/>
        </w:rPr>
        <w:t>A.B. 1X, approved February 1, 2001.</w:t>
      </w:r>
    </w:p>
    <w:p>
      <w:pPr>
        <w:pStyle w:val="Normal"/>
        <w:spacing w:lineRule="auto" w:line="480"/>
        <w:ind w:firstLine="720" w:end="0"/>
        <w:jc w:val="both"/>
        <w:rPr/>
      </w:pPr>
      <w:r>
        <w:rPr>
          <w:sz w:val="24"/>
        </w:rPr>
        <w:t>20.</w:t>
        <w:tab/>
        <w:t xml:space="preserve">Indeed, the Commission has found California's mandatory buy-sell law to be one of the major causes of California's crisis.  </w:t>
      </w:r>
      <w:r>
        <w:rPr>
          <w:i/>
          <w:sz w:val="24"/>
        </w:rPr>
        <w:t>San Diego Gas &amp; Electric Co.</w:t>
      </w:r>
      <w:r>
        <w:rPr>
          <w:sz w:val="24"/>
        </w:rPr>
        <w:t xml:space="preserve">, 93 FERC ¶ 61,294 (2000) </w:t>
      </w:r>
      <w:r>
        <w:rPr>
          <w:i/>
          <w:sz w:val="24"/>
        </w:rPr>
        <w:t>(Dec. 15 Order)</w:t>
      </w:r>
      <w:r>
        <w:rPr>
          <w:sz w:val="24"/>
        </w:rPr>
        <w:t xml:space="preserve">, and </w:t>
      </w:r>
      <w:r>
        <w:rPr>
          <w:i/>
          <w:sz w:val="24"/>
        </w:rPr>
        <w:t>San Diego Gas &amp; Electric Co</w:t>
      </w:r>
      <w:r>
        <w:rPr>
          <w:sz w:val="24"/>
        </w:rPr>
        <w:t>., 93 FERC ¶ 61,121 (2000).  In its December 15 Order, the Commission terminated that mandate “in the interest of protecting consumers, ensuring creditworthiness of market participants, and moving the Western markets toward the kind of rules that will sustain the electric industry in the long run . . . .” 93 FERC at 61,981.  The SCE/PG&amp;E-generated chargebacks are now defeating this objective.</w:t>
      </w:r>
    </w:p>
    <w:p>
      <w:pPr>
        <w:pStyle w:val="Normal"/>
        <w:spacing w:lineRule="auto" w:line="480"/>
        <w:jc w:val="both"/>
        <w:rPr/>
      </w:pPr>
      <w:r>
        <w:rPr>
          <w:sz w:val="24"/>
        </w:rPr>
        <w:tab/>
        <w:t>21.</w:t>
        <w:tab/>
        <w:t xml:space="preserve">The CalPX’s redesigned credit policies were filed and accepted, but were never approved or determined to be just and reasonable.  When the CalPX was discussing its proposals with the Market Participants, the concern of all, including the CalPX, SCE, and PG&amp;E, was directed toward defaults that would result from </w:t>
      </w:r>
      <w:r>
        <w:rPr>
          <w:i/>
          <w:sz w:val="24"/>
        </w:rPr>
        <w:t>failures to deliver power, not failures by the utilities to pay for it</w:t>
      </w:r>
      <w:r>
        <w:rPr>
          <w:sz w:val="24"/>
        </w:rPr>
        <w:t xml:space="preserve">. In its order approving the CalPX’s redesigned credit and default provisions, the Commission’s entire focus was on defaulting sellers:  </w:t>
      </w:r>
    </w:p>
    <w:p>
      <w:pPr>
        <w:pStyle w:val="BodyTextIndent"/>
        <w:ind w:end="1440"/>
        <w:jc w:val="both"/>
        <w:rPr/>
      </w:pPr>
      <w:r>
        <w:rPr/>
        <w:t xml:space="preserve">[I]f a party fails to </w:t>
      </w:r>
      <w:r>
        <w:rPr>
          <w:i/>
        </w:rPr>
        <w:t>deliver energy</w:t>
      </w:r>
      <w:r>
        <w:rPr/>
        <w:t xml:space="preserve"> into the CalPX Core Market, CalPX (not CTS) will see the difference in the California ISO’s billing for imbalances, since all sales and purchases of energy are delivered through the PX Day-Ahead Market, and the performance default will be charged to the CalPX Core Market customer.  Prior to settlement of the real-time invoice, CalPX would increase the defaulting party’s collateral requirement to cover the performance default amount.  If the party then fails to pay its invoice, CalPX could take enforcement action against the defaulting party by taking its collateral.  If such company-specific enforcement actions are still inadequate, the Core Market Pool Performance Surety Bond would apply to the default according to the ratio of liability in each Market.  Only when all of these actions have failed would SoCal Edison and other participants be exposed to pro-rata chargeback procedures in the Core Market. </w:t>
      </w:r>
    </w:p>
    <w:p>
      <w:pPr>
        <w:pStyle w:val="BodyTextIndent"/>
        <w:ind w:end="1440"/>
        <w:jc w:val="both"/>
        <w:rPr/>
      </w:pPr>
      <w:r>
        <w:rPr/>
      </w:r>
    </w:p>
    <w:p>
      <w:pPr>
        <w:pStyle w:val="BodyTextIndent"/>
        <w:spacing w:lineRule="auto" w:line="480"/>
        <w:ind w:start="0" w:end="0"/>
        <w:jc w:val="both"/>
        <w:rPr>
          <w:i/>
          <w:i/>
        </w:rPr>
      </w:pPr>
      <w:r>
        <w:rPr/>
        <w:t xml:space="preserve">92 FERC at 61,378 (emphasis added).  Ironically, at that time, SCE was concerned that it might not be able to recover from a defaulting party any chargeback imposed on it.  </w:t>
      </w:r>
      <w:r>
        <w:rPr>
          <w:i/>
        </w:rPr>
        <w:t>Id</w:t>
      </w:r>
      <w:r>
        <w:rPr/>
        <w:t xml:space="preserve">. at 61,379.  The Commission later compared a chargeback to an uncollectable account that may be classified as an administrative cost of doing business in the CalPX market, and thus recoverable </w:t>
      </w:r>
      <w:r>
        <w:rPr>
          <w:i/>
        </w:rPr>
        <w:t>in the utilities’ retail distribution rates</w:t>
      </w:r>
      <w:r>
        <w:rPr/>
        <w:t xml:space="preserve">.  </w:t>
      </w:r>
      <w:r>
        <w:rPr>
          <w:i/>
        </w:rPr>
        <w:t>California Power Exchange Corp</w:t>
      </w:r>
      <w:r>
        <w:rPr/>
        <w:t>., 93 FERC ¶ 61,199 at 61,660 (2000) (emphasis added).</w:t>
      </w:r>
    </w:p>
    <w:p>
      <w:pPr>
        <w:pStyle w:val="BodyTextIndent"/>
        <w:spacing w:lineRule="auto" w:line="480"/>
        <w:ind w:start="0" w:end="0"/>
        <w:jc w:val="both"/>
        <w:rPr/>
      </w:pPr>
      <w:r>
        <w:rPr/>
        <w:tab/>
        <w:t>22.</w:t>
        <w:tab/>
        <w:t>The ink was barely dry on the Commission's acceptance of the revised credit policies before the disastrous effects of California's deregulation policies on SCE and PG&amp;E became apparent last summer and fall:  Massive defaults triggered chargebacks for unpaid November invoices; substantially greater chargebacks for December and January are now in the works.  If not suspended, these chargebacks will completely defeat the purpose of the remedies the Commission adopted in the December 15 Order.  The chargebacks, if not suspended, will also impose on ratepayers in other Western states the costs of purchased power to serve California consumers.</w:t>
      </w:r>
    </w:p>
    <w:p>
      <w:pPr>
        <w:pStyle w:val="BodyTextIndent"/>
        <w:spacing w:lineRule="auto" w:line="480"/>
        <w:ind w:firstLine="720" w:start="0" w:end="0"/>
        <w:jc w:val="both"/>
        <w:rPr/>
      </w:pPr>
      <w:r>
        <w:rPr/>
        <w:t>23.</w:t>
        <w:tab/>
        <w:t xml:space="preserve">These consequences are at war with the understandings and expectations that led to the acceptance of the CalPX's redesigned credit provisions. They must now be rejected as unjust and unreasonable and wholly inconsistent with the CalPX Tariff's provisions. Cascading chargebacks must be stopped if the measures adopted in the December 15 Order are to produce meaningful results. </w:t>
      </w:r>
    </w:p>
    <w:p>
      <w:pPr>
        <w:pStyle w:val="FootnoteText"/>
        <w:spacing w:lineRule="auto" w:line="480"/>
        <w:ind w:firstLine="720" w:end="0"/>
        <w:jc w:val="both"/>
        <w:rPr>
          <w:sz w:val="24"/>
        </w:rPr>
      </w:pPr>
      <w:r>
        <w:rPr>
          <w:sz w:val="24"/>
        </w:rPr>
        <w:t>24.</w:t>
      </w:r>
      <w:r>
        <w:rPr/>
        <w:tab/>
      </w:r>
      <w:r>
        <w:rPr>
          <w:sz w:val="24"/>
        </w:rPr>
        <w:t>Events of the last two weeks confirm that if the chargeback provision was ever just and reasonable, it is not now.  The Commission approved the chargeback on the ground that it was the last and most draconian of steps in a sequence of default mitigation measures, which would rarely, if ever, be required.  Today, however, it has become CalPX’s first line of defense.  That was never the intent and it must now be stopped.</w:t>
      </w:r>
      <w:r>
        <w:rPr/>
        <w:t xml:space="preserve">  </w:t>
      </w:r>
    </w:p>
    <w:p>
      <w:pPr>
        <w:pStyle w:val="Normal"/>
        <w:ind w:hanging="720" w:start="1440" w:end="0"/>
        <w:jc w:val="both"/>
        <w:rPr/>
      </w:pPr>
      <w:r>
        <w:rPr>
          <w:b/>
          <w:i/>
          <w:sz w:val="24"/>
        </w:rPr>
        <w:t>B.</w:t>
        <w:tab/>
      </w:r>
      <w:r>
        <w:rPr>
          <w:b/>
          <w:i/>
          <w:sz w:val="26"/>
        </w:rPr>
        <w:t>Count 2: The CalPX Tariff Does Not Authorize the Iterative Implementation of the Chargeback Provision, Which Was Never Intended to Be Implemented in the Current Iterative Manner</w:t>
      </w:r>
      <w:r>
        <w:rPr>
          <w:b/>
          <w:i/>
          <w:sz w:val="24"/>
        </w:rPr>
        <w:t xml:space="preserve"> </w:t>
      </w:r>
      <w:r>
        <w:rPr>
          <w:b/>
          <w:sz w:val="24"/>
        </w:rPr>
        <w:tab/>
      </w:r>
    </w:p>
    <w:p>
      <w:pPr>
        <w:pStyle w:val="Normal"/>
        <w:tabs>
          <w:tab w:val="left" w:pos="720" w:leader="none"/>
          <w:tab w:val="left" w:pos="1440" w:leader="none"/>
        </w:tabs>
        <w:ind w:start="720" w:end="0"/>
        <w:jc w:val="both"/>
        <w:rPr>
          <w:sz w:val="24"/>
        </w:rPr>
      </w:pPr>
      <w:r>
        <w:rPr>
          <w:sz w:val="24"/>
        </w:rPr>
        <w:tab/>
        <w:tab/>
        <w:tab/>
      </w:r>
    </w:p>
    <w:p>
      <w:pPr>
        <w:pStyle w:val="Normal"/>
        <w:tabs>
          <w:tab w:val="left" w:pos="720" w:leader="none"/>
          <w:tab w:val="left" w:pos="1440" w:leader="none"/>
        </w:tabs>
        <w:spacing w:lineRule="auto" w:line="480"/>
        <w:ind w:hanging="1440" w:start="1440" w:end="0"/>
        <w:jc w:val="both"/>
        <w:rPr>
          <w:sz w:val="24"/>
        </w:rPr>
      </w:pPr>
      <w:r>
        <w:rPr>
          <w:sz w:val="24"/>
        </w:rPr>
        <w:tab/>
        <w:t xml:space="preserve">25.  </w:t>
        <w:tab/>
        <w:t>Complainants incorporate paragraphs 1 through 9.</w:t>
      </w:r>
    </w:p>
    <w:p>
      <w:pPr>
        <w:pStyle w:val="Normal"/>
        <w:spacing w:lineRule="auto" w:line="480"/>
        <w:jc w:val="both"/>
        <w:rPr>
          <w:sz w:val="24"/>
        </w:rPr>
      </w:pPr>
      <w:r>
        <w:rPr>
          <w:sz w:val="24"/>
        </w:rPr>
        <w:tab/>
        <w:t>26.</w:t>
        <w:tab/>
        <w:t xml:space="preserve">The Commission should further find that the CalPX's application of the  chargeback provision in an iterative manner is not authorized by the CalPX tariff and is unjust and unreasonable.  After CalPX first applied the chargeback mechanism to recoup SCE’s default, PG&amp;E and five other CalPX Participants refused to pay their shares of the chargeback.  CalPX reacted by charging back again on an iterative basis to recover not only SCE’s original default, but also the chargeback amounts not paid by PG&amp;E and the others, from a declining pool of CalPX Participants.  This process, which the CalPX has advised CalPX Participants it will carry to its illogical extreme, will result in the remaining CalPX Participants paying increasingly larger and larger shares, leading inevitably to “the last man standing,” who will collapse under the weight of cumulative defaults.  This process was neither authorized nor anticipated, and it will unjustly and unreasonably penalize sellers who acquiesce to CalPX's invoices. </w:t>
      </w:r>
    </w:p>
    <w:p>
      <w:pPr>
        <w:pStyle w:val="1Paragraph"/>
        <w:spacing w:lineRule="auto" w:line="480"/>
        <w:rPr>
          <w:lang w:eastAsia="en-CA"/>
        </w:rPr>
      </w:pPr>
      <w:r>
        <w:rPr>
          <w:lang w:eastAsia="en-CA"/>
        </w:rPr>
        <w:tab/>
        <w:t>27.</w:t>
        <w:tab/>
        <w:t xml:space="preserve">Neither the Commission nor any CalPX Participant ever contemplated that the chargeback provisions would operate in this “death spiral” fashion.  Section 5.3 simply prescribes a process under which the chargeback is calculated on the basis of each CalPX Participant's proportional share of gross sales in the Core Market.  The chargeback provision does not provide that any portion of a CalPX Participant's original defaults that remain uncollected can thereafter be re-charged to the CalPX Participants that paid their “share” of SCE's default.  </w:t>
        <w:tab/>
      </w:r>
    </w:p>
    <w:p>
      <w:pPr>
        <w:pStyle w:val="Normal"/>
        <w:spacing w:lineRule="auto" w:line="480"/>
        <w:jc w:val="both"/>
        <w:rPr/>
      </w:pPr>
      <w:r>
        <w:rPr>
          <w:sz w:val="24"/>
        </w:rPr>
        <w:tab/>
        <w:t>28.</w:t>
        <w:tab/>
        <w:t xml:space="preserve"> That the iterative application of the chargeback mechanism was neither contemplated in the CalPX tariff nor approved by the Commission is evident from the Commission’s discussions of the default chargeback mechanism of Schedule 2.  The Commission noted that the CalPX Tariff provides that the CalPX will monitor a Participant’s financial status to ensure that it maintains the minimum creditworthiness required under the Tariff.  If the Participant does not respond to CalPX requests for meeting creditworthiness requirements, the Participant’s trading rights in CalPX Markets will be suspended. 92 FERC at 61,379.  The Commission added that “continual monitoring and suspension of trading rights should reduce the incidence of default beyond the collateral state where other Participants could be liable for residual losses.”  </w:t>
      </w:r>
      <w:r>
        <w:rPr>
          <w:i/>
          <w:sz w:val="24"/>
        </w:rPr>
        <w:t>Id.</w:t>
      </w:r>
      <w:r>
        <w:rPr>
          <w:sz w:val="24"/>
        </w:rPr>
        <w:t xml:space="preserve">  The chargeback provision does not provide that CalPX Participants that have paid their share of a Participants' original default, can then be recharged for the unpaid chargeback shares of other Participants.</w:t>
      </w:r>
    </w:p>
    <w:p>
      <w:pPr>
        <w:pStyle w:val="1Paragraph"/>
        <w:spacing w:lineRule="auto" w:line="480"/>
        <w:rPr>
          <w:lang w:eastAsia="en-CA"/>
        </w:rPr>
      </w:pPr>
      <w:r>
        <w:rPr>
          <w:lang w:eastAsia="en-CA"/>
        </w:rPr>
        <w:tab/>
        <w:t xml:space="preserve">29.  </w:t>
        <w:tab/>
        <w:t xml:space="preserve">The “death spiral” application of the chargeback is unfair to the remaining CalPX Participants since it is causing their credit to be undermined cumulatively, which adversely affecting their ability to supply the California market.  In addition, applying the chargeback mechanism on an iterative basis, particularly under the current circumstances where the two largest customers of the CalPX are the defaulting entities, would be bad public policy since it establishes the precedent that no matter how commercially reasonable and prudent a market participant may be in its own right, it could still be held liable for the defaults of others over which it has no control.  This precedent will inevitably exacerbate the existing generation shortage in the state, as sellers of electricity will shun any market that inevitably results in unlimited liability that cannot be avoided.  The iterative death spiral will, therefore, increase the incentives of CalPX Participants to jump ship in contravention of the very purpose of the revised credit provisions:  promoting market entry.  </w:t>
      </w:r>
    </w:p>
    <w:p>
      <w:pPr>
        <w:pStyle w:val="Normal"/>
        <w:spacing w:lineRule="auto" w:line="480"/>
        <w:jc w:val="both"/>
        <w:rPr/>
      </w:pPr>
      <w:r>
        <w:rPr>
          <w:sz w:val="24"/>
        </w:rPr>
        <w:tab/>
        <w:t>30.</w:t>
        <w:tab/>
        <w:t xml:space="preserve">Finally, the “death spiral” application will not result in CalPX recovering all defaulted payments, if Section 5.3 operates as drafted, rather than as CalPX intends to apply it.  Schedule 2, Section 5.3 provides that a “PX Participant's outstanding default amount will be charged back to all current PX Participants based upon the percentage of </w:t>
      </w:r>
      <w:r>
        <w:rPr>
          <w:i/>
          <w:sz w:val="24"/>
        </w:rPr>
        <w:t xml:space="preserve">its gross sales in MWhs </w:t>
      </w:r>
      <w:r>
        <w:rPr>
          <w:sz w:val="24"/>
        </w:rPr>
        <w:t xml:space="preserve">to the </w:t>
      </w:r>
      <w:r>
        <w:rPr>
          <w:i/>
          <w:sz w:val="24"/>
        </w:rPr>
        <w:t>total gross MWh sales</w:t>
      </w:r>
      <w:r>
        <w:rPr>
          <w:sz w:val="24"/>
        </w:rPr>
        <w:t xml:space="preserve"> . . . during the three calendar months preceding the event plus the current month to date.”  (emphasis added).  Under this provision, the percentage of a default charged to a Participant is fixed.  It is not increased to pick up the entire default.  If that were intended, Section 5.3 would provide that a default is charged out to a CalPX Participant based on its gross sales to the total gross sales of Participants not in default.  Though CalPX has indicated its view that the “last man standing” must bear the aggregate amount defaulted, the clear language of its Tariff does not lead to this result. </w:t>
      </w:r>
    </w:p>
    <w:p>
      <w:pPr>
        <w:pStyle w:val="Normal"/>
        <w:spacing w:lineRule="auto" w:line="480"/>
        <w:jc w:val="both"/>
        <w:rPr/>
      </w:pPr>
      <w:r>
        <w:rPr>
          <w:sz w:val="24"/>
        </w:rPr>
        <w:tab/>
        <w:t>31.</w:t>
        <w:tab/>
        <w:t xml:space="preserve">Instead of this iterative death spiral, the reasonable application of the chargeback provision (assuming </w:t>
      </w:r>
      <w:r>
        <w:rPr>
          <w:i/>
          <w:sz w:val="24"/>
        </w:rPr>
        <w:t>arguendo</w:t>
      </w:r>
      <w:r>
        <w:rPr>
          <w:sz w:val="24"/>
        </w:rPr>
        <w:t xml:space="preserve"> that it can lawfully be applied at all in the current California environment), one that is consistent with the Commission's orders approving such provisions, is to apply it only as a last resort, and not in iterations.  In accepting the chargeback provision, the Commission stated that, under the </w:t>
      </w:r>
      <w:r>
        <w:rPr>
          <w:i/>
          <w:sz w:val="24"/>
        </w:rPr>
        <w:t>pro rata</w:t>
      </w:r>
      <w:r>
        <w:rPr>
          <w:sz w:val="24"/>
        </w:rPr>
        <w:t xml:space="preserve"> default chargeback procedures, “the effect of default would be spread among all Market Participants in the respective markets,” not just a few remaining non-defaulting PX Participants.  </w:t>
      </w:r>
      <w:r>
        <w:rPr>
          <w:i/>
          <w:sz w:val="24"/>
        </w:rPr>
        <w:t xml:space="preserve">California Power Exchange Corp., </w:t>
      </w:r>
      <w:r>
        <w:rPr>
          <w:sz w:val="24"/>
        </w:rPr>
        <w:t xml:space="preserve">92 FERC at 61,379.  </w:t>
      </w:r>
    </w:p>
    <w:p>
      <w:pPr>
        <w:pStyle w:val="Normal"/>
        <w:spacing w:lineRule="auto" w:line="480"/>
        <w:ind w:firstLine="720" w:end="0"/>
        <w:jc w:val="both"/>
        <w:rPr>
          <w:sz w:val="24"/>
        </w:rPr>
      </w:pPr>
      <w:r>
        <w:rPr>
          <w:sz w:val="24"/>
        </w:rPr>
        <w:t>32.</w:t>
        <w:tab/>
        <w:t>In summary, even if it is not found to be unjust and unreasonable in all current applications, iterative applications of the chargeback provision must be found to be unauthorized and immediately suspended.</w:t>
      </w:r>
    </w:p>
    <w:p>
      <w:pPr>
        <w:pStyle w:val="1Paragraph"/>
        <w:keepNext w:val="true"/>
        <w:keepLines/>
        <w:numPr>
          <w:ilvl w:val="0"/>
          <w:numId w:val="2"/>
        </w:numPr>
        <w:tabs>
          <w:tab w:val="left" w:pos="720" w:leader="none"/>
          <w:tab w:val="left" w:pos="1440" w:leader="none"/>
        </w:tabs>
        <w:ind w:hanging="720" w:start="1440" w:end="0"/>
        <w:rPr>
          <w:b/>
          <w:i/>
          <w:i/>
          <w:sz w:val="26"/>
        </w:rPr>
      </w:pPr>
      <w:r>
        <w:rPr>
          <w:b/>
          <w:i/>
          <w:sz w:val="26"/>
        </w:rPr>
        <w:t>Count 3:  CalPX’s Use of Its Chargeback Mechanism to Collect Amounts Owed to the ISO Improperly Commingles Its and the ISO’s Accounts and Tariff Provisions In An Unauthorized Manner that Produces Unjust and Unreasonable Results</w:t>
      </w:r>
    </w:p>
    <w:p>
      <w:pPr>
        <w:pStyle w:val="1Paragraph"/>
        <w:keepNext w:val="true"/>
        <w:keepLines/>
        <w:tabs>
          <w:tab w:val="left" w:pos="720" w:leader="none"/>
        </w:tabs>
        <w:ind w:start="720" w:end="0"/>
        <w:rPr>
          <w:b/>
          <w:i/>
          <w:i/>
          <w:sz w:val="26"/>
        </w:rPr>
      </w:pPr>
      <w:r>
        <w:rPr>
          <w:b/>
          <w:i/>
          <w:sz w:val="26"/>
        </w:rPr>
      </w:r>
    </w:p>
    <w:p>
      <w:pPr>
        <w:pStyle w:val="1Paragraph"/>
        <w:keepNext w:val="true"/>
        <w:keepLines/>
        <w:tabs>
          <w:tab w:val="left" w:pos="720" w:leader="none"/>
        </w:tabs>
        <w:rPr/>
      </w:pPr>
      <w:r>
        <w:rPr/>
        <w:tab/>
        <w:t>33.</w:t>
        <w:tab/>
        <w:t>Complainants incorporate paragraphs 1 through 9.</w:t>
      </w:r>
    </w:p>
    <w:p>
      <w:pPr>
        <w:pStyle w:val="1Paragraph"/>
        <w:keepNext w:val="true"/>
        <w:keepLines/>
        <w:tabs>
          <w:tab w:val="left" w:pos="720" w:leader="none"/>
        </w:tabs>
        <w:rPr/>
      </w:pPr>
      <w:r>
        <w:rPr/>
      </w:r>
    </w:p>
    <w:p>
      <w:pPr>
        <w:pStyle w:val="Normal"/>
        <w:spacing w:lineRule="auto" w:line="480"/>
        <w:ind w:firstLine="720" w:end="0"/>
        <w:jc w:val="both"/>
        <w:rPr/>
      </w:pPr>
      <w:r>
        <w:rPr>
          <w:sz w:val="24"/>
        </w:rPr>
        <w:t>34.</w:t>
      </w:r>
      <w:r>
        <w:rPr/>
        <w:tab/>
      </w:r>
      <w:r>
        <w:rPr>
          <w:sz w:val="24"/>
        </w:rPr>
        <w:t>Under putative authority of Section 5.3 of Schedule 2 of CalPX Tariff, CalPX intends to submit an invoice to certain CalPX Market Participants, including Complainants, demanding that these participants make payments as a chargeback to cover a portion of the shortfall created by the failure of SCE, PG&amp;E and others to pay their February 1, 2001, bills for purchases of imbalance energy in the real-time market operated by the ISO.  The CalPX has no authority under the CalPX Tariff or otherwise to make this demand.</w:t>
      </w:r>
    </w:p>
    <w:p>
      <w:pPr>
        <w:pStyle w:val="Normal"/>
        <w:spacing w:lineRule="auto" w:line="480"/>
        <w:jc w:val="both"/>
        <w:rPr>
          <w:sz w:val="24"/>
        </w:rPr>
      </w:pPr>
      <w:r>
        <w:rPr>
          <w:sz w:val="24"/>
        </w:rPr>
        <w:tab/>
        <w:t>35.</w:t>
        <w:tab/>
        <w:t>Section 11.16.1 of the ISO's FERC Electric Tariff specifically provides that the shortfall is to be spread proportionately among ISO creditors; that is, among those parties that are owed money for imbalance energy transactions in the real-time market.  This section is inapplicable to the CalPX in this situation because the CalPX was not “operating” the real-time market (as defined in the CalPX Tariff); rather, the CalPX was acting as the Scheduling Coordinator with the ISO.  In other words, when the CalPX is operating the CalPX Market, the CalPX Tariff and its provisions apply; when the CalPX is acting as an ISO Scheduling Coordinator, the ISO Tariff and its provisions apply.</w:t>
      </w:r>
    </w:p>
    <w:p>
      <w:pPr>
        <w:pStyle w:val="1Paragraph"/>
        <w:spacing w:lineRule="auto" w:line="480"/>
        <w:ind w:firstLine="720" w:end="0"/>
        <w:rPr/>
      </w:pPr>
      <w:r>
        <w:rPr/>
        <w:t>36.</w:t>
        <w:tab/>
        <w:t>As a result of the CalPX's misinterpretation and misapplication of these tariffs, those who have supplied power to CalPX are being charged for others’defaults to the ISO, which properly should be paid by ISO debtors.  The Commission therefore should immediately issue an order directing the CalPX to cease all attempts at assessing chargebacks to CalPX Participants under the CalPX Tariff based upon the defaults of SCE and PG&amp;E in the ISO-operated real-time market, and declare the CalPX's use of the CalPX Tariff in this regard to be been improper and without authority.</w:t>
      </w:r>
    </w:p>
    <w:p>
      <w:pPr>
        <w:pStyle w:val="BodyTextIndent3"/>
        <w:keepNext w:val="true"/>
        <w:keepLines/>
        <w:tabs>
          <w:tab w:val="left" w:pos="720" w:leader="none"/>
        </w:tabs>
        <w:ind w:hanging="720" w:start="1440" w:end="0"/>
        <w:jc w:val="both"/>
        <w:rPr/>
      </w:pPr>
      <w:r>
        <w:rPr/>
        <w:t>D.</w:t>
        <w:tab/>
      </w:r>
      <w:r>
        <w:rPr>
          <w:sz w:val="26"/>
        </w:rPr>
        <w:t>Count 4:  Governor Davis' Interference with CalPX's Ability to Liquidate SCE's Block Forward Contracts Prevents It from Satisfying Tariff Prerequisites to Chargeback</w:t>
      </w:r>
    </w:p>
    <w:p>
      <w:pPr>
        <w:pStyle w:val="Normal"/>
        <w:keepNext w:val="true"/>
        <w:keepLines/>
        <w:jc w:val="both"/>
        <w:rPr>
          <w:sz w:val="24"/>
        </w:rPr>
      </w:pPr>
      <w:r>
        <w:rPr>
          <w:sz w:val="24"/>
        </w:rPr>
      </w:r>
    </w:p>
    <w:p>
      <w:pPr>
        <w:pStyle w:val="Normal"/>
        <w:keepNext w:val="true"/>
        <w:keepLines/>
        <w:spacing w:lineRule="auto" w:line="480"/>
        <w:ind w:firstLine="720" w:end="0"/>
        <w:jc w:val="both"/>
        <w:rPr>
          <w:sz w:val="24"/>
        </w:rPr>
      </w:pPr>
      <w:r>
        <w:rPr>
          <w:sz w:val="24"/>
        </w:rPr>
        <w:t>37.</w:t>
        <w:tab/>
        <w:t>Complainants incorporate paragraphs 1 through 9.</w:t>
      </w:r>
    </w:p>
    <w:p>
      <w:pPr>
        <w:pStyle w:val="1Paragraph"/>
        <w:spacing w:lineRule="auto" w:line="480"/>
        <w:ind w:firstLine="720" w:end="0"/>
        <w:rPr/>
      </w:pPr>
      <w:r>
        <w:rPr/>
        <w:t>38.</w:t>
        <w:tab/>
        <w:t xml:space="preserve">California Governor Davis commandeered SCE's contracts and trades in the market for the sales and purchases of forward contracts and trades for electricity (known as the CTS “Block Forward Market”) to prevent CalPX from liquidating these contracts as part of its enforcement of its default mitigation procedures.   </w:t>
      </w:r>
      <w:r>
        <w:rPr>
          <w:i/>
        </w:rPr>
        <w:t>See</w:t>
      </w:r>
      <w:r>
        <w:rPr/>
        <w:t xml:space="preserve"> Executive Orders D-20-01 and D-21-01.  This action gutted the default protection procedures of the CalPX tariff as applied to the SCE and PG&amp;E defauls.  CalPX can no longer use SCE's and PG&amp;E's collateral to offset their defaults before invoking chargeback.  In an invoice sent to Governor Davis, CalPX has valued the SCE contracts at $651 million, which is more than the $215 million that SCE is in default to CalPX for November.  </w:t>
      </w:r>
      <w:r>
        <w:rPr>
          <w:i/>
        </w:rPr>
        <w:t xml:space="preserve">See CalPX Press Release, </w:t>
      </w:r>
      <w:r>
        <w:rPr/>
        <w:t xml:space="preserve">(Feb. 2, 2001).  </w:t>
      </w:r>
    </w:p>
    <w:p>
      <w:pPr>
        <w:pStyle w:val="1Paragraph"/>
        <w:spacing w:lineRule="auto" w:line="480"/>
        <w:ind w:firstLine="720" w:end="0"/>
        <w:rPr/>
      </w:pPr>
      <w:r>
        <w:rPr/>
        <w:t>39.</w:t>
        <w:tab/>
        <w:t>The Governor’s action negated a critically important feature of the CalPX's default mitigation procedures, which has had the effect of unraveling the remaining provisions.  This is because a majority of the bids made into the CalPX’s day-ahead and hour-ahead spot markets have traditionally been made by the large IOUs in California (upwards of 80% of their total loads).  That amount of CalPX volume will no longer be backstopped by the collateral offset requirements of the CalPX's tariff. This significant change in how default mitigation procedures are applied renders the entire chargeback mechanism unjust and unreasonable and a legal nullity.</w:t>
      </w:r>
    </w:p>
    <w:p>
      <w:pPr>
        <w:pStyle w:val="1Paragraph"/>
        <w:spacing w:lineRule="auto" w:line="480"/>
        <w:ind w:firstLine="720" w:end="0"/>
        <w:rPr/>
      </w:pPr>
      <w:r>
        <w:rPr/>
        <w:t>40.</w:t>
        <w:tab/>
        <w:t xml:space="preserve">It is apparent from the Commission’s discussion of the revised credit policies of Schedule 2 that the Commission deemed the collateral component to be essential to approval of the chargeback.  The default chargeback procedures, the Commission explained, would rarely come into play because “continual monitoring and suspension of trading rights should reduce the incidence of default </w:t>
      </w:r>
      <w:r>
        <w:rPr>
          <w:i/>
        </w:rPr>
        <w:t>beyond the collateral stage</w:t>
      </w:r>
      <w:r>
        <w:rPr/>
        <w:t xml:space="preserve"> where other Participants could be liable for residual losses.”  </w:t>
      </w:r>
      <w:r>
        <w:rPr>
          <w:i/>
        </w:rPr>
        <w:t>California Power Exchange Corp.</w:t>
      </w:r>
      <w:r>
        <w:rPr/>
        <w:t>, 92 FERC at 61,379 (2000)(emphasis added).</w:t>
      </w:r>
    </w:p>
    <w:p>
      <w:pPr>
        <w:pStyle w:val="1Paragraph"/>
        <w:spacing w:lineRule="atLeast" w:line="480"/>
        <w:ind w:firstLine="720" w:end="0"/>
        <w:rPr/>
      </w:pPr>
      <w:r>
        <w:rPr/>
        <w:t>41.</w:t>
        <w:tab/>
        <w:t>So long as CalPX remains able to take the sequential steps provided in its tariff to mitigate the effects of default, the use of chargeback is unauthorized, unjust and unreasonable. Accordingly, the Commission should stem any further applications of chargeback until CalPX demonstrates it has regained the ability to comply with all mitigation measures required by its tariff.</w:t>
      </w:r>
    </w:p>
    <w:p>
      <w:pPr>
        <w:pStyle w:val="Heading6"/>
        <w:spacing w:lineRule="auto" w:line="240"/>
        <w:ind w:hanging="0" w:start="0"/>
        <w:rPr>
          <w:b w:val="false"/>
        </w:rPr>
      </w:pPr>
      <w:r>
        <w:rPr/>
        <w:t>VII.</w:t>
        <w:tab/>
      </w:r>
      <w:r>
        <w:rPr>
          <w:sz w:val="28"/>
        </w:rPr>
        <w:t>REQUEST FOR INTERIM SUSPENSION</w:t>
      </w:r>
    </w:p>
    <w:p>
      <w:pPr>
        <w:pStyle w:val="Normal"/>
        <w:jc w:val="center"/>
        <w:rPr>
          <w:b/>
          <w:sz w:val="24"/>
        </w:rPr>
      </w:pPr>
      <w:r>
        <w:rPr>
          <w:b/>
          <w:sz w:val="24"/>
        </w:rPr>
      </w:r>
    </w:p>
    <w:p>
      <w:pPr>
        <w:pStyle w:val="1Paragraph"/>
        <w:spacing w:lineRule="auto" w:line="480"/>
        <w:rPr>
          <w:lang w:eastAsia="en-CA"/>
        </w:rPr>
      </w:pPr>
      <w:r>
        <w:rPr>
          <w:lang w:eastAsia="en-CA"/>
        </w:rPr>
        <w:tab/>
        <w:t>42.</w:t>
        <w:tab/>
        <w:t>In order to prevent irreparable injury pending review of this matter by the Commission, Complainants request that the Commission immediately suspend CalPX’s further use of chargeback.  Based on information provided by the CalPX, the next round of chargebacks will be sent out today for payment due no later than February 15, 2001. Complainants therefore request that the Commission issue an order suspending any use of the chargeback mechanism by no later than February 14, 2001, pending consideration of this Complaint.</w:t>
      </w:r>
    </w:p>
    <w:p>
      <w:pPr>
        <w:pStyle w:val="Normal"/>
        <w:spacing w:lineRule="auto" w:line="480"/>
        <w:ind w:firstLine="720" w:end="0"/>
        <w:jc w:val="both"/>
        <w:rPr/>
      </w:pPr>
      <w:r>
        <w:rPr>
          <w:sz w:val="24"/>
        </w:rPr>
        <w:t>43.</w:t>
        <w:tab/>
        <w:t xml:space="preserve">This request raises the same considerations that the Commission evaluates when it acts upon requests for a stay of Commission orders.  In evaluating whether to grant a stay, the Commission (i) balances the interests of the party seeking the stay with the overall public interest, and (ii) evaluates whether the party requesting the stay will be irreparably harmed in the absence of a stay. </w:t>
      </w:r>
      <w:r>
        <w:rPr>
          <w:i/>
          <w:sz w:val="24"/>
        </w:rPr>
        <w:t>E.g., Pacific Gas Transmission Co.</w:t>
      </w:r>
      <w:r>
        <w:rPr>
          <w:sz w:val="24"/>
        </w:rPr>
        <w:t>, 41 FERC ¶ 61,023 at 61,059 (1987). These considerations require that the requested suspension be granted.</w:t>
      </w:r>
    </w:p>
    <w:p>
      <w:pPr>
        <w:pStyle w:val="1Paragraph"/>
        <w:spacing w:lineRule="auto" w:line="480"/>
        <w:rPr/>
      </w:pPr>
      <w:r>
        <w:rPr/>
        <w:tab/>
        <w:t>44.</w:t>
        <w:tab/>
        <w:t xml:space="preserve">The public interest requires that an immediate suspension of further application of the chargeback mechanism be granted.  A suspension will merely preserve the </w:t>
      </w:r>
      <w:r>
        <w:rPr>
          <w:i/>
        </w:rPr>
        <w:t>status quo ante</w:t>
      </w:r>
      <w:r>
        <w:rPr/>
        <w:t xml:space="preserve"> while the thorny questions surrounding the CalPX's wind-down are ferreted out and considered in an orderly fashion.  This will help assure that those parties that are responsible for these losses are held accountable, while innocent parties are not.  This will help instill the confidence in California’s electricity markets that is critical if it is to attract investors and developers. If millions of dollars continue to be looted from the burning CalPX, investors will turn their back on the Golden State.</w:t>
      </w:r>
    </w:p>
    <w:p>
      <w:pPr>
        <w:pStyle w:val="1Paragraph"/>
        <w:spacing w:lineRule="auto" w:line="480"/>
        <w:ind w:firstLine="720" w:end="0"/>
        <w:rPr/>
      </w:pPr>
      <w:r>
        <w:rPr/>
        <w:t>45.</w:t>
        <w:tab/>
        <w:t xml:space="preserve">The public’s interest in orderly markets and incentives for new generation thus will benefit through a temporary standstill while the underlying questions are resolved.  In the interim, a full accounting of the CalPX's trading activities can be conducted so that, once a solution is achieved, a just and reasonable resolution can be implemented. </w:t>
      </w:r>
    </w:p>
    <w:p>
      <w:pPr>
        <w:pStyle w:val="1Paragraph"/>
        <w:spacing w:lineRule="auto" w:line="480"/>
        <w:ind w:firstLine="720" w:end="0"/>
        <w:rPr/>
      </w:pPr>
      <w:r>
        <w:rPr/>
        <w:t>46.</w:t>
        <w:tab/>
        <w:t>A suspension is also needed to prevent irreparable injury to Complainants and other Market Participants.  As matters now stand, CalPX Participants are faced with the Hobson's Choice of either paying the CalPX’s invoices into a black hole with no chance of recovering their monies, even if the chargeback mechanism is eventually held to be unjust and unreasonable, or refusing to pay those invoices, in which event the CalPX asserts it is authorized to attach their lines of credit.  Either way, CalPX will commandeer assets belonging to the CalPX Participants. CalPX is closing its doors.  It is highly unlikely that the CalPX will be in existence when this matter is eventually sorted out in order to facilitate the reallocation and refund of the chargeback amounts improperly collected.  Similarly, given that both SCE and PG&amp;E are insolvent, they are unlikely to have the financial wherewithal to repay the chargeback amounts improperly billed to Complainants for many years, if ever.  Indeed, their ability to regain solvency is contingent on a state bailout that may contain conditions that will make full repayment to national sellers highly unlikely.</w:t>
      </w:r>
    </w:p>
    <w:p>
      <w:pPr>
        <w:pStyle w:val="1Paragraph"/>
        <w:spacing w:lineRule="auto" w:line="480"/>
        <w:ind w:firstLine="720" w:end="0"/>
        <w:rPr/>
      </w:pPr>
      <w:r>
        <w:rPr/>
        <w:t>47.</w:t>
        <w:tab/>
        <w:t>For these reasons, a suspension is required by the public interest and is necessary to prevent irreparable injury.</w:t>
      </w:r>
    </w:p>
    <w:p>
      <w:pPr>
        <w:pStyle w:val="BodyTextIndent"/>
        <w:spacing w:lineRule="auto" w:line="480"/>
        <w:ind w:start="0" w:end="0"/>
        <w:jc w:val="center"/>
        <w:rPr/>
      </w:pPr>
      <w:r>
        <w:rPr>
          <w:b/>
        </w:rPr>
        <w:t xml:space="preserve">VIII.   </w:t>
      </w:r>
      <w:r>
        <w:rPr>
          <w:b/>
          <w:sz w:val="28"/>
        </w:rPr>
        <w:t>CONCLUSION</w:t>
      </w:r>
    </w:p>
    <w:p>
      <w:pPr>
        <w:pStyle w:val="BodyTextIndent2"/>
        <w:jc w:val="both"/>
        <w:rPr/>
      </w:pPr>
      <w:r>
        <w:rPr/>
        <w:t xml:space="preserve">CalPX's wind down is intimately tied to the provisions of the CalPX Tariff, which the Commission initially approved and, in recent orders, radically altered.  The Commission has a responsibility to all Market Participants to restore stability to the CalPX market as it closes.  This can only occur through a lawful and orderly wind down that begins with an immediate standstill, suspending the chargeback mechanism. </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008"/>
          <w:pgNumType w:fmt="decimal"/>
          <w:formProt w:val="false"/>
          <w:titlePg/>
          <w:textDirection w:val="lrTb"/>
          <w:docGrid w:type="default" w:linePitch="360" w:charSpace="0"/>
        </w:sectPr>
        <w:pStyle w:val="BodyTextIndent"/>
        <w:spacing w:lineRule="auto" w:line="480"/>
        <w:ind w:start="0" w:end="0"/>
        <w:jc w:val="both"/>
        <w:rPr/>
      </w:pPr>
      <w:r>
        <w:rPr/>
        <w:tab/>
        <w:t xml:space="preserve">For these reasons, no later than February 14, 2001, the Commission must issue an order directing the CalPX to cease all attempts at recovering chargebacks from CalPX Participants under Section 5.3 of Schedule 2 of the CalPX tariff based upon the defaults of SCE and PG&amp;E.  Once a standstill is in place and this matter is properly evaluated, Complainants request that the Commission declare unjust and unreasonable, and unenforceable, any application of the chargeback provisions in Section 5 of the CalPX Tariff with regard to existing and future defaults of SCE and PG&amp;E in either the CalPX or ISO markets.  In the alternative, the </w:t>
      </w:r>
    </w:p>
    <w:p>
      <w:pPr>
        <w:pStyle w:val="BodyTextIndent"/>
        <w:spacing w:lineRule="auto" w:line="480"/>
        <w:ind w:start="0" w:end="0"/>
        <w:jc w:val="both"/>
        <w:rPr/>
      </w:pPr>
      <w:r>
        <w:rPr/>
        <w:t>Commission should declare that the chargeback provisions do not authorize invoices in excess of the amounts that can be recouped, set-off and applied under Section 5.25 of the tariff.</w:t>
      </w:r>
    </w:p>
    <w:p>
      <w:pPr>
        <w:pStyle w:val="BodyTextIndent"/>
        <w:spacing w:lineRule="auto" w:line="480"/>
        <w:ind w:start="0" w:end="0"/>
        <w:jc w:val="both"/>
        <w:rPr/>
      </w:pPr>
      <w:r>
        <w:rPr>
          <w:b/>
        </w:rPr>
        <w:tab/>
        <w:tab/>
        <w:tab/>
        <w:tab/>
        <w:tab/>
        <w:tab/>
        <w:tab/>
      </w:r>
      <w:r>
        <w:rPr/>
        <w:t>Respectfully submitted,</w:t>
      </w:r>
    </w:p>
    <w:p>
      <w:pPr>
        <w:pStyle w:val="BodyTextIndent"/>
        <w:spacing w:lineRule="auto" w:line="480"/>
        <w:ind w:start="0" w:end="0"/>
        <w:jc w:val="both"/>
        <w:rPr/>
      </w:pPr>
      <w:r>
        <w:rPr/>
      </w:r>
    </w:p>
    <w:p>
      <w:pPr>
        <w:pStyle w:val="BodyTextIndent"/>
        <w:ind w:start="0" w:end="0"/>
        <w:jc w:val="both"/>
        <w:rPr/>
      </w:pPr>
      <w:r>
        <w:rPr/>
        <w:tab/>
        <w:tab/>
        <w:tab/>
        <w:tab/>
        <w:tab/>
        <w:tab/>
        <w:tab/>
        <w:t>____________________________________</w:t>
      </w:r>
    </w:p>
    <w:p>
      <w:pPr>
        <w:pStyle w:val="BodyTextIndent"/>
        <w:ind w:start="0" w:end="0"/>
        <w:jc w:val="both"/>
        <w:rPr/>
      </w:pPr>
      <w:r>
        <w:rPr/>
        <w:tab/>
        <w:tab/>
        <w:tab/>
        <w:tab/>
        <w:tab/>
        <w:tab/>
        <w:tab/>
        <w:t>Jeffrey D. Watkiss</w:t>
      </w:r>
    </w:p>
    <w:p>
      <w:pPr>
        <w:pStyle w:val="BodyTextIndent"/>
        <w:ind w:start="0" w:end="0"/>
        <w:jc w:val="both"/>
        <w:rPr/>
      </w:pPr>
      <w:r>
        <w:rPr/>
        <w:tab/>
        <w:tab/>
        <w:tab/>
        <w:tab/>
        <w:tab/>
        <w:tab/>
        <w:tab/>
        <w:t>Ronald N. Carroll</w:t>
      </w:r>
    </w:p>
    <w:p>
      <w:pPr>
        <w:pStyle w:val="BodyTextIndent"/>
        <w:ind w:start="0" w:end="0"/>
        <w:jc w:val="both"/>
        <w:rPr/>
      </w:pPr>
      <w:r>
        <w:rPr/>
        <w:tab/>
        <w:tab/>
        <w:tab/>
        <w:tab/>
        <w:tab/>
        <w:tab/>
        <w:tab/>
        <w:t>Andrea M. Settanni</w:t>
      </w:r>
    </w:p>
    <w:p>
      <w:pPr>
        <w:pStyle w:val="BodyTextIndent"/>
        <w:ind w:start="0" w:end="0"/>
        <w:jc w:val="both"/>
        <w:rPr/>
      </w:pPr>
      <w:r>
        <w:rPr/>
        <w:tab/>
        <w:tab/>
        <w:tab/>
        <w:tab/>
        <w:tab/>
        <w:tab/>
        <w:tab/>
        <w:t>Bracewell &amp; Patterson, L.L.P.</w:t>
      </w:r>
    </w:p>
    <w:p>
      <w:pPr>
        <w:pStyle w:val="BodyTextIndent"/>
        <w:ind w:start="0" w:end="0"/>
        <w:jc w:val="both"/>
        <w:rPr/>
      </w:pPr>
      <w:r>
        <w:rPr/>
        <w:tab/>
        <w:tab/>
        <w:tab/>
        <w:tab/>
        <w:tab/>
        <w:tab/>
        <w:tab/>
        <w:t>A Registered Limited Liability Partnership</w:t>
      </w:r>
    </w:p>
    <w:p>
      <w:pPr>
        <w:pStyle w:val="BodyTextIndent"/>
        <w:ind w:start="0" w:end="0"/>
        <w:jc w:val="both"/>
        <w:rPr/>
      </w:pPr>
      <w:r>
        <w:rPr/>
        <w:tab/>
        <w:tab/>
        <w:tab/>
        <w:tab/>
        <w:tab/>
        <w:tab/>
        <w:tab/>
        <w:t>2000 K Street, N.W., Suite 500</w:t>
      </w:r>
    </w:p>
    <w:p>
      <w:pPr>
        <w:pStyle w:val="BodyTextIndent"/>
        <w:ind w:start="0" w:end="0"/>
        <w:jc w:val="both"/>
        <w:rPr/>
      </w:pPr>
      <w:r>
        <w:rPr/>
        <w:tab/>
        <w:tab/>
        <w:tab/>
        <w:tab/>
        <w:tab/>
        <w:tab/>
        <w:tab/>
        <w:t>Washington, D.C.,  20006</w:t>
      </w:r>
    </w:p>
    <w:p>
      <w:pPr>
        <w:pStyle w:val="BodyTextIndent"/>
        <w:ind w:firstLine="720" w:start="0" w:end="0"/>
        <w:jc w:val="both"/>
        <w:rPr/>
      </w:pPr>
      <w:r>
        <w:rPr/>
        <w:tab/>
        <w:tab/>
        <w:tab/>
        <w:tab/>
        <w:tab/>
        <w:tab/>
        <w:t xml:space="preserve">(202) 828-5800 </w:t>
      </w:r>
    </w:p>
    <w:p>
      <w:pPr>
        <w:pStyle w:val="BodyTextIndent"/>
        <w:ind w:start="0" w:end="0"/>
        <w:jc w:val="both"/>
        <w:rPr/>
      </w:pPr>
      <w:r>
        <w:rPr/>
      </w:r>
    </w:p>
    <w:p>
      <w:pPr>
        <w:pStyle w:val="BodyTextIndent"/>
        <w:ind w:start="0" w:end="0"/>
        <w:jc w:val="both"/>
        <w:rPr/>
      </w:pPr>
      <w:r>
        <w:rPr/>
        <w:tab/>
        <w:tab/>
        <w:tab/>
        <w:tab/>
        <w:tab/>
        <w:tab/>
        <w:tab/>
      </w:r>
      <w:r>
        <w:rPr>
          <w:i/>
        </w:rPr>
        <w:t>Attorneys for</w:t>
      </w:r>
    </w:p>
    <w:p>
      <w:pPr>
        <w:pStyle w:val="BodyTextIndent"/>
        <w:ind w:start="0" w:end="0"/>
        <w:jc w:val="both"/>
        <w:rPr>
          <w:i/>
          <w:i/>
        </w:rPr>
      </w:pPr>
      <w:r>
        <w:rPr>
          <w:i/>
        </w:rPr>
        <w:tab/>
        <w:tab/>
        <w:tab/>
        <w:tab/>
        <w:tab/>
        <w:tab/>
        <w:tab/>
        <w:t>Coral Power, L.L.C. and</w:t>
      </w:r>
    </w:p>
    <w:p>
      <w:pPr>
        <w:pStyle w:val="BodyTextIndent"/>
        <w:ind w:start="0" w:end="0"/>
        <w:jc w:val="both"/>
        <w:rPr>
          <w:i/>
          <w:i/>
        </w:rPr>
      </w:pPr>
      <w:r>
        <w:rPr>
          <w:i/>
        </w:rPr>
        <w:tab/>
        <w:tab/>
        <w:tab/>
        <w:tab/>
        <w:tab/>
        <w:tab/>
        <w:tab/>
        <w:t>Enron Power Marketing, Inc.</w:t>
      </w:r>
    </w:p>
    <w:p>
      <w:pPr>
        <w:pStyle w:val="Normal"/>
        <w:rPr>
          <w:i/>
          <w:i/>
          <w:sz w:val="24"/>
          <w:lang w:eastAsia="en-US"/>
        </w:rPr>
      </w:pPr>
      <w:r>
        <w:rPr>
          <w:i/>
          <w:sz w:val="24"/>
          <w:lang w:eastAsia="en-US"/>
        </w:rPr>
      </w:r>
    </w:p>
    <w:p>
      <w:pPr>
        <w:pStyle w:val="Normal"/>
        <w:rPr>
          <w:sz w:val="24"/>
          <w:lang w:eastAsia="en-US"/>
        </w:rPr>
      </w:pPr>
      <w:r>
        <w:rPr>
          <w:sz w:val="24"/>
          <w:lang w:eastAsia="en-U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sz w:val="24"/>
                <w:lang w:eastAsia="en-US"/>
              </w:rPr>
            </w:pPr>
            <w:r>
              <w:rPr>
                <w:sz w:val="24"/>
                <w:lang w:eastAsia="en-US"/>
              </w:rPr>
            </w:r>
          </w:p>
          <w:p>
            <w:pPr>
              <w:pStyle w:val="Normal"/>
              <w:rPr>
                <w:sz w:val="24"/>
                <w:lang w:eastAsia="en-US"/>
              </w:rPr>
            </w:pPr>
            <w:r>
              <w:rPr>
                <w:sz w:val="24"/>
                <w:lang w:eastAsia="en-US"/>
              </w:rPr>
              <w:t>______________________________</w:t>
            </w:r>
          </w:p>
          <w:p>
            <w:pPr>
              <w:pStyle w:val="Normal"/>
              <w:rPr>
                <w:sz w:val="24"/>
                <w:lang w:eastAsia="en-US"/>
              </w:rPr>
            </w:pPr>
            <w:r>
              <w:rPr>
                <w:sz w:val="24"/>
                <w:lang w:eastAsia="en-US"/>
              </w:rPr>
              <w:t>Gary D. Bachman</w:t>
            </w:r>
          </w:p>
          <w:p>
            <w:pPr>
              <w:pStyle w:val="Normal"/>
              <w:rPr>
                <w:sz w:val="24"/>
                <w:lang w:eastAsia="en-US"/>
              </w:rPr>
            </w:pPr>
            <w:r>
              <w:rPr>
                <w:sz w:val="24"/>
                <w:lang w:eastAsia="en-US"/>
              </w:rPr>
              <w:t>Howard E. Shapiro</w:t>
            </w:r>
          </w:p>
          <w:p>
            <w:pPr>
              <w:pStyle w:val="Normal"/>
              <w:rPr>
                <w:sz w:val="24"/>
                <w:lang w:eastAsia="en-US"/>
              </w:rPr>
            </w:pPr>
            <w:r>
              <w:rPr>
                <w:sz w:val="24"/>
                <w:lang w:eastAsia="en-US"/>
              </w:rPr>
              <w:t>Cheryl Feik Ryan</w:t>
            </w:r>
          </w:p>
          <w:p>
            <w:pPr>
              <w:pStyle w:val="Normal"/>
              <w:rPr>
                <w:sz w:val="24"/>
                <w:lang w:eastAsia="en-US"/>
              </w:rPr>
            </w:pPr>
            <w:r>
              <w:rPr>
                <w:sz w:val="24"/>
                <w:lang w:eastAsia="en-US"/>
              </w:rPr>
              <w:t>Van Ness Feldman, P.C.</w:t>
            </w:r>
          </w:p>
          <w:p>
            <w:pPr>
              <w:pStyle w:val="Normal"/>
              <w:rPr>
                <w:sz w:val="24"/>
                <w:lang w:eastAsia="en-US"/>
              </w:rPr>
            </w:pPr>
            <w:r>
              <w:rPr>
                <w:sz w:val="24"/>
                <w:lang w:eastAsia="en-US"/>
              </w:rPr>
              <w:t>1050 Thomas Jefferson Street, N.W.</w:t>
            </w:r>
          </w:p>
          <w:p>
            <w:pPr>
              <w:pStyle w:val="Normal"/>
              <w:rPr>
                <w:sz w:val="24"/>
                <w:lang w:eastAsia="en-US"/>
              </w:rPr>
            </w:pPr>
            <w:r>
              <w:rPr>
                <w:sz w:val="24"/>
                <w:lang w:eastAsia="en-US"/>
              </w:rPr>
              <w:t>Washington, D.C. 20007</w:t>
            </w:r>
          </w:p>
          <w:p>
            <w:pPr>
              <w:pStyle w:val="Normal"/>
              <w:rPr>
                <w:sz w:val="24"/>
                <w:lang w:eastAsia="en-US"/>
              </w:rPr>
            </w:pPr>
            <w:r>
              <w:rPr>
                <w:sz w:val="24"/>
                <w:lang w:eastAsia="en-US"/>
              </w:rPr>
              <w:t>(202) 298-1800</w:t>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t>_______________________________</w:t>
            </w:r>
          </w:p>
          <w:p>
            <w:pPr>
              <w:pStyle w:val="Normal"/>
              <w:rPr>
                <w:sz w:val="24"/>
                <w:lang w:eastAsia="en-US"/>
              </w:rPr>
            </w:pPr>
            <w:r>
              <w:rPr>
                <w:sz w:val="24"/>
                <w:lang w:eastAsia="en-US"/>
              </w:rPr>
              <w:t>Robert H. Loeffler</w:t>
            </w:r>
          </w:p>
          <w:p>
            <w:pPr>
              <w:pStyle w:val="Normal"/>
              <w:rPr>
                <w:sz w:val="24"/>
                <w:lang w:eastAsia="en-US"/>
              </w:rPr>
            </w:pPr>
            <w:r>
              <w:rPr>
                <w:sz w:val="24"/>
                <w:lang w:eastAsia="en-US"/>
              </w:rPr>
              <w:t>Katherine Zeitlin</w:t>
            </w:r>
          </w:p>
          <w:p>
            <w:pPr>
              <w:pStyle w:val="Normal"/>
              <w:rPr>
                <w:sz w:val="24"/>
                <w:lang w:eastAsia="en-US"/>
              </w:rPr>
            </w:pPr>
            <w:r>
              <w:rPr>
                <w:sz w:val="24"/>
                <w:lang w:eastAsia="en-US"/>
              </w:rPr>
              <w:t>Morrison &amp; Foerster</w:t>
            </w:r>
          </w:p>
          <w:p>
            <w:pPr>
              <w:pStyle w:val="Normal"/>
              <w:rPr>
                <w:sz w:val="24"/>
                <w:lang w:eastAsia="en-US"/>
              </w:rPr>
            </w:pPr>
            <w:r>
              <w:rPr>
                <w:sz w:val="24"/>
                <w:lang w:eastAsia="en-US"/>
              </w:rPr>
              <w:t>Suite 5500</w:t>
            </w:r>
          </w:p>
          <w:p>
            <w:pPr>
              <w:pStyle w:val="Normal"/>
              <w:rPr>
                <w:sz w:val="24"/>
                <w:lang w:eastAsia="en-US"/>
              </w:rPr>
            </w:pPr>
            <w:r>
              <w:rPr>
                <w:sz w:val="24"/>
                <w:lang w:eastAsia="en-US"/>
              </w:rPr>
              <w:t>2000 Pennsylvania N.W.</w:t>
              <w:tab/>
            </w:r>
          </w:p>
          <w:p>
            <w:pPr>
              <w:pStyle w:val="Normal"/>
              <w:rPr>
                <w:sz w:val="24"/>
                <w:lang w:eastAsia="en-US"/>
              </w:rPr>
            </w:pPr>
            <w:r>
              <w:rPr>
                <w:sz w:val="24"/>
                <w:lang w:eastAsia="en-US"/>
              </w:rPr>
              <w:t>Washington, D.C. 20006</w:t>
            </w:r>
          </w:p>
          <w:p>
            <w:pPr>
              <w:pStyle w:val="Normal"/>
              <w:rPr>
                <w:sz w:val="24"/>
                <w:lang w:eastAsia="en-US"/>
              </w:rPr>
            </w:pPr>
            <w:r>
              <w:rPr>
                <w:sz w:val="24"/>
                <w:lang w:eastAsia="en-US"/>
              </w:rPr>
              <w:t>(202)-887-1506</w:t>
            </w:r>
          </w:p>
          <w:p>
            <w:pPr>
              <w:pStyle w:val="Normal"/>
              <w:rPr>
                <w:i/>
                <w:i/>
                <w:sz w:val="24"/>
                <w:lang w:eastAsia="en-US"/>
              </w:rPr>
            </w:pPr>
            <w:r>
              <w:rPr>
                <w:i/>
                <w:sz w:val="24"/>
                <w:lang w:eastAsia="en-US"/>
              </w:rPr>
            </w:r>
          </w:p>
          <w:p>
            <w:pPr>
              <w:pStyle w:val="Normal"/>
              <w:rPr>
                <w:i/>
                <w:i/>
                <w:sz w:val="24"/>
              </w:rPr>
            </w:pPr>
            <w:r>
              <w:rPr>
                <w:i/>
                <w:sz w:val="24"/>
                <w:lang w:eastAsia="en-US"/>
              </w:rPr>
              <w:t>Attorneys for Avista Energy, Inc.</w:t>
            </w:r>
          </w:p>
          <w:p>
            <w:pPr>
              <w:pStyle w:val="Normal"/>
              <w:rPr>
                <w:i/>
                <w:i/>
                <w:sz w:val="24"/>
              </w:rPr>
            </w:pPr>
            <w:r>
              <w:rPr>
                <w:i/>
                <w:sz w:val="24"/>
              </w:rPr>
            </w:r>
          </w:p>
          <w:p>
            <w:pPr>
              <w:pStyle w:val="Normal"/>
              <w:rPr>
                <w:i/>
                <w:i/>
                <w:sz w:val="24"/>
              </w:rPr>
            </w:pPr>
            <w:r>
              <w:rPr>
                <w:i/>
                <w:sz w:val="24"/>
              </w:rPr>
            </w:r>
          </w:p>
          <w:p>
            <w:pPr>
              <w:pStyle w:val="Normal"/>
              <w:rPr>
                <w:sz w:val="24"/>
              </w:rPr>
            </w:pPr>
            <w:r>
              <w:rPr>
                <w:sz w:val="24"/>
              </w:rPr>
            </w:r>
          </w:p>
          <w:p>
            <w:pPr>
              <w:pStyle w:val="Normal"/>
              <w:rPr>
                <w:sz w:val="24"/>
              </w:rPr>
            </w:pPr>
            <w:r>
              <w:rPr>
                <w:sz w:val="24"/>
              </w:rPr>
            </w:r>
          </w:p>
          <w:p>
            <w:pPr>
              <w:pStyle w:val="FootnoteText"/>
              <w:rPr>
                <w:sz w:val="24"/>
                <w:lang w:eastAsia="en-US"/>
              </w:rPr>
            </w:pPr>
            <w:r>
              <w:rPr>
                <w:sz w:val="24"/>
                <w:lang w:eastAsia="en-US"/>
              </w:rPr>
              <w:t>_________________________________</w:t>
            </w:r>
          </w:p>
          <w:p>
            <w:pPr>
              <w:pStyle w:val="Normal"/>
              <w:rPr>
                <w:sz w:val="24"/>
                <w:lang w:eastAsia="en-US"/>
              </w:rPr>
            </w:pPr>
            <w:r>
              <w:rPr>
                <w:sz w:val="24"/>
                <w:lang w:eastAsia="en-US"/>
              </w:rPr>
              <w:t>Richard Beitler, Esq.</w:t>
            </w:r>
          </w:p>
          <w:p>
            <w:pPr>
              <w:pStyle w:val="Normal"/>
              <w:rPr>
                <w:sz w:val="24"/>
                <w:lang w:eastAsia="en-US"/>
              </w:rPr>
            </w:pPr>
            <w:r>
              <w:rPr>
                <w:sz w:val="24"/>
                <w:lang w:eastAsia="en-US"/>
              </w:rPr>
              <w:t>Sempra Energy Trading Corp.</w:t>
            </w:r>
          </w:p>
          <w:p>
            <w:pPr>
              <w:pStyle w:val="Normal"/>
              <w:rPr>
                <w:sz w:val="24"/>
                <w:lang w:eastAsia="en-US"/>
              </w:rPr>
            </w:pPr>
            <w:r>
              <w:rPr>
                <w:sz w:val="24"/>
                <w:lang w:eastAsia="en-US"/>
              </w:rPr>
              <w:t>58 Commerce Road</w:t>
            </w:r>
          </w:p>
          <w:p>
            <w:pPr>
              <w:pStyle w:val="Normal"/>
              <w:rPr>
                <w:sz w:val="24"/>
                <w:lang w:eastAsia="en-US"/>
              </w:rPr>
            </w:pPr>
            <w:r>
              <w:rPr>
                <w:sz w:val="24"/>
                <w:lang w:eastAsia="en-US"/>
              </w:rPr>
              <w:t>Stamford, CT 06902</w:t>
            </w:r>
          </w:p>
          <w:p>
            <w:pPr>
              <w:pStyle w:val="FootnoteText"/>
              <w:rPr>
                <w:sz w:val="24"/>
                <w:lang w:eastAsia="en-US"/>
              </w:rPr>
            </w:pPr>
            <w:r>
              <w:rPr>
                <w:sz w:val="24"/>
                <w:lang w:eastAsia="en-US"/>
              </w:rPr>
              <w:t>(203) 355-5403</w:t>
            </w:r>
          </w:p>
          <w:p>
            <w:pPr>
              <w:pStyle w:val="FootnoteText"/>
              <w:rPr>
                <w:sz w:val="24"/>
                <w:lang w:eastAsia="en-US"/>
              </w:rPr>
            </w:pPr>
            <w:r>
              <w:rPr>
                <w:sz w:val="24"/>
                <w:lang w:eastAsia="en-US"/>
              </w:rPr>
            </w:r>
          </w:p>
          <w:p>
            <w:pPr>
              <w:pStyle w:val="FootnoteText"/>
              <w:rPr>
                <w:sz w:val="24"/>
                <w:lang w:eastAsia="en-US"/>
              </w:rPr>
            </w:pPr>
            <w:r>
              <w:rPr>
                <w:sz w:val="24"/>
                <w:lang w:eastAsia="en-US"/>
              </w:rPr>
            </w:r>
          </w:p>
          <w:p>
            <w:pPr>
              <w:pStyle w:val="FootnoteText"/>
              <w:rPr>
                <w:sz w:val="24"/>
                <w:lang w:eastAsia="en-US"/>
              </w:rPr>
            </w:pPr>
            <w:r>
              <w:rPr>
                <w:sz w:val="24"/>
                <w:lang w:eastAsia="en-US"/>
              </w:rPr>
            </w:r>
          </w:p>
          <w:p>
            <w:pPr>
              <w:pStyle w:val="FootnoteText"/>
              <w:rPr>
                <w:sz w:val="24"/>
                <w:lang w:eastAsia="en-US"/>
              </w:rPr>
            </w:pPr>
            <w:r>
              <w:rPr>
                <w:sz w:val="24"/>
                <w:lang w:eastAsia="en-US"/>
              </w:rPr>
            </w:r>
          </w:p>
          <w:p>
            <w:pPr>
              <w:pStyle w:val="FootnoteText"/>
              <w:rPr>
                <w:sz w:val="24"/>
                <w:lang w:eastAsia="en-US"/>
              </w:rPr>
            </w:pPr>
            <w:r>
              <w:rPr>
                <w:sz w:val="24"/>
                <w:lang w:eastAsia="en-US"/>
              </w:rPr>
              <w:t>________________________________</w:t>
            </w:r>
          </w:p>
          <w:p>
            <w:pPr>
              <w:pStyle w:val="Normal"/>
              <w:rPr>
                <w:sz w:val="24"/>
                <w:lang w:eastAsia="en-US"/>
              </w:rPr>
            </w:pPr>
            <w:r>
              <w:rPr>
                <w:sz w:val="24"/>
                <w:lang w:eastAsia="en-US"/>
              </w:rPr>
              <w:t>Julia R. Richardson</w:t>
            </w:r>
          </w:p>
          <w:p>
            <w:pPr>
              <w:pStyle w:val="Normal"/>
              <w:rPr>
                <w:sz w:val="24"/>
                <w:lang w:eastAsia="en-US"/>
              </w:rPr>
            </w:pPr>
            <w:r>
              <w:rPr>
                <w:sz w:val="24"/>
                <w:lang w:eastAsia="en-US"/>
              </w:rPr>
              <w:t>Van Ness Feldman, P.C.</w:t>
            </w:r>
          </w:p>
          <w:p>
            <w:pPr>
              <w:pStyle w:val="Normal"/>
              <w:rPr>
                <w:sz w:val="24"/>
                <w:lang w:eastAsia="en-US"/>
              </w:rPr>
            </w:pPr>
            <w:r>
              <w:rPr>
                <w:sz w:val="24"/>
                <w:lang w:eastAsia="en-US"/>
              </w:rPr>
              <w:t>1050 Thomas Jefferson Street, N.W.</w:t>
            </w:r>
          </w:p>
          <w:p>
            <w:pPr>
              <w:pStyle w:val="Normal"/>
              <w:rPr>
                <w:sz w:val="24"/>
                <w:lang w:eastAsia="en-US"/>
              </w:rPr>
            </w:pPr>
            <w:r>
              <w:rPr>
                <w:sz w:val="24"/>
                <w:lang w:eastAsia="en-US"/>
              </w:rPr>
              <w:t>Suite 700</w:t>
            </w:r>
          </w:p>
          <w:p>
            <w:pPr>
              <w:pStyle w:val="Normal"/>
              <w:rPr>
                <w:sz w:val="24"/>
                <w:lang w:eastAsia="en-US"/>
              </w:rPr>
            </w:pPr>
            <w:r>
              <w:rPr>
                <w:sz w:val="24"/>
                <w:lang w:eastAsia="en-US"/>
              </w:rPr>
              <w:t>Washington, D.C. 20007</w:t>
            </w:r>
          </w:p>
          <w:p>
            <w:pPr>
              <w:pStyle w:val="Normal"/>
              <w:rPr>
                <w:sz w:val="24"/>
                <w:lang w:eastAsia="en-US"/>
              </w:rPr>
            </w:pPr>
            <w:r>
              <w:rPr>
                <w:sz w:val="24"/>
                <w:lang w:eastAsia="en-US"/>
              </w:rPr>
              <w:t>(202) 298-1937</w:t>
            </w:r>
          </w:p>
          <w:p>
            <w:pPr>
              <w:pStyle w:val="Normal"/>
              <w:rPr>
                <w:rFonts w:ascii="MS Sans Serif" w:hAnsi="MS Sans Serif" w:cs="MS Sans Serif"/>
                <w:sz w:val="24"/>
                <w:lang w:eastAsia="en-US"/>
              </w:rPr>
            </w:pPr>
            <w:r>
              <w:rPr>
                <w:rFonts w:cs="MS Sans Serif" w:ascii="MS Sans Serif" w:hAnsi="MS Sans Serif"/>
                <w:sz w:val="24"/>
                <w:lang w:eastAsia="en-US"/>
              </w:rPr>
            </w:r>
          </w:p>
          <w:p>
            <w:pPr>
              <w:pStyle w:val="FootnoteText"/>
              <w:rPr>
                <w:rFonts w:ascii="MS Sans Serif" w:hAnsi="MS Sans Serif" w:cs="MS Sans Serif"/>
                <w:sz w:val="24"/>
                <w:lang w:eastAsia="en-US"/>
              </w:rPr>
            </w:pPr>
            <w:r>
              <w:rPr>
                <w:rFonts w:cs="MS Sans Serif" w:ascii="MS Sans Serif" w:hAnsi="MS Sans Serif"/>
                <w:sz w:val="24"/>
                <w:lang w:eastAsia="en-US"/>
              </w:rPr>
            </w:r>
          </w:p>
          <w:p>
            <w:pPr>
              <w:pStyle w:val="FootnoteText"/>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t>_________________________________</w:t>
            </w:r>
          </w:p>
          <w:p>
            <w:pPr>
              <w:pStyle w:val="Normal"/>
              <w:rPr>
                <w:sz w:val="24"/>
                <w:lang w:eastAsia="en-US"/>
              </w:rPr>
            </w:pPr>
            <w:r>
              <w:rPr>
                <w:sz w:val="24"/>
                <w:lang w:eastAsia="en-US"/>
              </w:rPr>
              <w:t>Melvin A. Brosterman, Esq.</w:t>
            </w:r>
          </w:p>
          <w:p>
            <w:pPr>
              <w:pStyle w:val="Normal"/>
              <w:rPr>
                <w:sz w:val="24"/>
                <w:lang w:eastAsia="en-US"/>
              </w:rPr>
            </w:pPr>
            <w:r>
              <w:rPr>
                <w:sz w:val="24"/>
                <w:lang w:eastAsia="en-US"/>
              </w:rPr>
              <w:t>Stroock &amp; Stroock &amp; Lavan LLP</w:t>
            </w:r>
          </w:p>
          <w:p>
            <w:pPr>
              <w:pStyle w:val="Normal"/>
              <w:rPr>
                <w:sz w:val="24"/>
                <w:lang w:eastAsia="en-US"/>
              </w:rPr>
            </w:pPr>
            <w:r>
              <w:rPr>
                <w:sz w:val="24"/>
                <w:lang w:eastAsia="en-US"/>
              </w:rPr>
              <w:t>180 Maiden Lane</w:t>
            </w:r>
          </w:p>
          <w:p>
            <w:pPr>
              <w:pStyle w:val="Normal"/>
              <w:rPr>
                <w:sz w:val="24"/>
                <w:lang w:eastAsia="en-US"/>
              </w:rPr>
            </w:pPr>
            <w:r>
              <w:rPr>
                <w:sz w:val="24"/>
                <w:lang w:eastAsia="en-US"/>
              </w:rPr>
              <w:t>New York, New York 10038</w:t>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t>_________________________________</w:t>
            </w:r>
          </w:p>
          <w:p>
            <w:pPr>
              <w:pStyle w:val="Normal"/>
              <w:rPr>
                <w:sz w:val="24"/>
                <w:lang w:eastAsia="en-US"/>
              </w:rPr>
            </w:pPr>
            <w:r>
              <w:rPr>
                <w:sz w:val="24"/>
                <w:lang w:eastAsia="en-US"/>
              </w:rPr>
              <w:t>Alan Z. Yudkowsky, Esq.</w:t>
            </w:r>
          </w:p>
          <w:p>
            <w:pPr>
              <w:pStyle w:val="Normal"/>
              <w:rPr>
                <w:sz w:val="24"/>
                <w:lang w:eastAsia="en-US"/>
              </w:rPr>
            </w:pPr>
            <w:r>
              <w:rPr>
                <w:sz w:val="24"/>
                <w:lang w:eastAsia="en-US"/>
              </w:rPr>
              <w:t>Stroock &amp; Stroock &amp; Lavan LLP</w:t>
            </w:r>
          </w:p>
          <w:p>
            <w:pPr>
              <w:pStyle w:val="Normal"/>
              <w:rPr>
                <w:sz w:val="24"/>
                <w:lang w:eastAsia="en-US"/>
              </w:rPr>
            </w:pPr>
            <w:r>
              <w:rPr>
                <w:sz w:val="24"/>
                <w:lang w:eastAsia="en-US"/>
              </w:rPr>
              <w:t>2029 Century Park East, Suite 1800</w:t>
            </w:r>
          </w:p>
          <w:p>
            <w:pPr>
              <w:pStyle w:val="Normal"/>
              <w:rPr>
                <w:sz w:val="24"/>
                <w:lang w:eastAsia="en-US"/>
              </w:rPr>
            </w:pPr>
            <w:r>
              <w:rPr>
                <w:sz w:val="24"/>
                <w:lang w:eastAsia="en-US"/>
              </w:rPr>
              <w:t>Los Angeles, California 90067</w:t>
            </w:r>
          </w:p>
          <w:p>
            <w:pPr>
              <w:pStyle w:val="Normal"/>
              <w:rPr>
                <w:sz w:val="24"/>
                <w:lang w:eastAsia="en-US"/>
              </w:rPr>
            </w:pPr>
            <w:r>
              <w:rPr>
                <w:sz w:val="24"/>
                <w:lang w:eastAsia="en-US"/>
              </w:rPr>
              <w:t>(310) 556-5829 (voice)</w:t>
            </w:r>
          </w:p>
          <w:p>
            <w:pPr>
              <w:pStyle w:val="FootnoteText"/>
              <w:rPr>
                <w:sz w:val="24"/>
                <w:lang w:eastAsia="en-US"/>
              </w:rPr>
            </w:pPr>
            <w:r>
              <w:rPr>
                <w:sz w:val="24"/>
                <w:lang w:eastAsia="en-US"/>
              </w:rPr>
            </w:r>
          </w:p>
          <w:p>
            <w:pPr>
              <w:pStyle w:val="Normal"/>
              <w:rPr>
                <w:i/>
                <w:i/>
                <w:sz w:val="24"/>
                <w:lang w:eastAsia="en-US"/>
              </w:rPr>
            </w:pPr>
            <w:r>
              <w:rPr>
                <w:i/>
                <w:sz w:val="24"/>
                <w:lang w:eastAsia="en-US"/>
              </w:rPr>
              <w:t>Attorneys for Sempra Energy Trading Corp.</w:t>
            </w:r>
          </w:p>
          <w:p>
            <w:pPr>
              <w:pStyle w:val="Normal"/>
              <w:rPr>
                <w:i/>
                <w:i/>
                <w:sz w:val="24"/>
                <w:lang w:eastAsia="en-US"/>
              </w:rPr>
            </w:pPr>
            <w:r>
              <w:rPr>
                <w:i/>
                <w:sz w:val="24"/>
                <w:lang w:eastAsia="en-US"/>
              </w:rPr>
            </w:r>
          </w:p>
          <w:p>
            <w:pPr>
              <w:pStyle w:val="FootnoteText"/>
              <w:rPr>
                <w:i/>
                <w:i/>
                <w:sz w:val="24"/>
                <w:lang w:eastAsia="en-US"/>
              </w:rPr>
            </w:pPr>
            <w:r>
              <w:rPr>
                <w:i/>
                <w:sz w:val="24"/>
                <w:lang w:eastAsia="en-US"/>
              </w:rPr>
            </w:r>
          </w:p>
          <w:p>
            <w:pPr>
              <w:pStyle w:val="FootnoteText"/>
              <w:rPr>
                <w:i/>
                <w:i/>
                <w:sz w:val="24"/>
                <w:lang w:eastAsia="en-US"/>
              </w:rPr>
            </w:pPr>
            <w:r>
              <w:rPr>
                <w:i/>
                <w:sz w:val="24"/>
                <w:lang w:eastAsia="en-US"/>
              </w:rPr>
              <w:t>_________________________________</w:t>
            </w:r>
          </w:p>
          <w:p>
            <w:pPr>
              <w:pStyle w:val="FootnoteText"/>
              <w:rPr>
                <w:sz w:val="24"/>
                <w:lang w:eastAsia="en-US"/>
              </w:rPr>
            </w:pPr>
            <w:r>
              <w:rPr>
                <w:sz w:val="24"/>
                <w:lang w:eastAsia="en-US"/>
              </w:rPr>
              <w:t>David M. Perlman</w:t>
            </w:r>
          </w:p>
          <w:p>
            <w:pPr>
              <w:pStyle w:val="FootnoteText"/>
              <w:rPr>
                <w:sz w:val="24"/>
                <w:lang w:eastAsia="en-US"/>
              </w:rPr>
            </w:pPr>
            <w:r>
              <w:rPr>
                <w:sz w:val="24"/>
                <w:lang w:eastAsia="en-US"/>
              </w:rPr>
              <w:t>General Counsel</w:t>
            </w:r>
          </w:p>
          <w:p>
            <w:pPr>
              <w:pStyle w:val="FootnoteText"/>
              <w:rPr>
                <w:sz w:val="24"/>
                <w:lang w:eastAsia="en-US"/>
              </w:rPr>
            </w:pPr>
            <w:r>
              <w:rPr>
                <w:sz w:val="24"/>
                <w:lang w:eastAsia="en-US"/>
              </w:rPr>
              <w:t>Randal D. Osteen</w:t>
            </w:r>
          </w:p>
          <w:p>
            <w:pPr>
              <w:pStyle w:val="FootnoteText"/>
              <w:rPr>
                <w:sz w:val="24"/>
                <w:lang w:eastAsia="en-US"/>
              </w:rPr>
            </w:pPr>
            <w:r>
              <w:rPr>
                <w:sz w:val="24"/>
                <w:lang w:eastAsia="en-US"/>
              </w:rPr>
              <w:t>Counsel</w:t>
            </w:r>
          </w:p>
          <w:p>
            <w:pPr>
              <w:pStyle w:val="Normal"/>
              <w:rPr>
                <w:sz w:val="24"/>
                <w:lang w:eastAsia="en-US"/>
              </w:rPr>
            </w:pPr>
            <w:r>
              <w:rPr>
                <w:sz w:val="24"/>
                <w:lang w:eastAsia="en-US"/>
              </w:rPr>
              <w:t>Constellation Power Source</w:t>
            </w:r>
          </w:p>
          <w:p>
            <w:pPr>
              <w:pStyle w:val="Normal"/>
              <w:rPr>
                <w:sz w:val="24"/>
                <w:lang w:eastAsia="en-US"/>
              </w:rPr>
            </w:pPr>
            <w:r>
              <w:rPr>
                <w:sz w:val="24"/>
                <w:lang w:eastAsia="en-US"/>
              </w:rPr>
              <w:t>111 Market Place</w:t>
            </w:r>
          </w:p>
          <w:p>
            <w:pPr>
              <w:pStyle w:val="Normal"/>
              <w:rPr>
                <w:sz w:val="24"/>
                <w:lang w:eastAsia="en-US"/>
              </w:rPr>
            </w:pPr>
            <w:r>
              <w:rPr>
                <w:sz w:val="24"/>
                <w:lang w:eastAsia="en-US"/>
              </w:rPr>
              <w:t>Baltimore, MD  21202</w:t>
            </w:r>
          </w:p>
          <w:p>
            <w:pPr>
              <w:pStyle w:val="Normal"/>
              <w:rPr>
                <w:sz w:val="24"/>
                <w:lang w:eastAsia="en-US"/>
              </w:rPr>
            </w:pPr>
            <w:r>
              <w:rPr>
                <w:sz w:val="24"/>
                <w:lang w:eastAsia="en-US"/>
              </w:rPr>
              <w:t>(410) 468-3490 (voice)</w:t>
            </w:r>
          </w:p>
          <w:p>
            <w:pPr>
              <w:pStyle w:val="Normal"/>
              <w:rPr>
                <w:sz w:val="24"/>
                <w:lang w:eastAsia="en-US"/>
              </w:rPr>
            </w:pPr>
            <w:r>
              <w:rPr>
                <w:sz w:val="24"/>
                <w:lang w:eastAsia="en-US"/>
              </w:rPr>
            </w:r>
          </w:p>
          <w:p>
            <w:pPr>
              <w:pStyle w:val="Normal"/>
              <w:rPr>
                <w:sz w:val="24"/>
              </w:rPr>
            </w:pPr>
            <w:r>
              <w:rPr>
                <w:i/>
                <w:sz w:val="24"/>
                <w:lang w:eastAsia="en-US"/>
              </w:rPr>
              <w:t>Attorneys for Constellation Power Source</w:t>
            </w:r>
          </w:p>
        </w:tc>
        <w:tc>
          <w:tcPr>
            <w:tcW w:w="4788" w:type="dxa"/>
            <w:tcBorders/>
          </w:tcPr>
          <w:p>
            <w:pPr>
              <w:pStyle w:val="Normal"/>
              <w:snapToGrid w:val="false"/>
              <w:rPr>
                <w:sz w:val="24"/>
              </w:rPr>
            </w:pPr>
            <w:r>
              <w:rPr>
                <w:sz w:val="24"/>
              </w:rPr>
            </w:r>
          </w:p>
          <w:p>
            <w:pPr>
              <w:pStyle w:val="Normal"/>
              <w:rPr>
                <w:sz w:val="24"/>
              </w:rPr>
            </w:pPr>
            <w:r>
              <w:rPr>
                <w:sz w:val="24"/>
              </w:rPr>
              <w:t xml:space="preserve">   </w:t>
            </w:r>
            <w:r>
              <w:rPr>
                <w:sz w:val="24"/>
              </w:rPr>
              <w:t>_________________________________</w:t>
            </w:r>
          </w:p>
          <w:p>
            <w:pPr>
              <w:pStyle w:val="Normal"/>
              <w:rPr>
                <w:sz w:val="24"/>
              </w:rPr>
            </w:pPr>
            <w:r>
              <w:rPr>
                <w:sz w:val="24"/>
              </w:rPr>
              <w:t xml:space="preserve">   </w:t>
            </w:r>
            <w:r>
              <w:rPr>
                <w:sz w:val="24"/>
              </w:rPr>
              <w:t>Timothy F. Bolden</w:t>
            </w:r>
          </w:p>
          <w:p>
            <w:pPr>
              <w:pStyle w:val="Normal"/>
              <w:rPr>
                <w:sz w:val="24"/>
              </w:rPr>
            </w:pPr>
            <w:r>
              <w:rPr>
                <w:sz w:val="24"/>
              </w:rPr>
              <w:t xml:space="preserve">   </w:t>
            </w:r>
            <w:r>
              <w:rPr>
                <w:sz w:val="24"/>
              </w:rPr>
              <w:t>Pinnacle West Capital Corporation</w:t>
            </w:r>
          </w:p>
          <w:p>
            <w:pPr>
              <w:pStyle w:val="Normal"/>
              <w:rPr>
                <w:sz w:val="24"/>
              </w:rPr>
            </w:pPr>
            <w:r>
              <w:rPr>
                <w:sz w:val="24"/>
              </w:rPr>
              <w:t xml:space="preserve">   </w:t>
            </w:r>
            <w:r>
              <w:rPr>
                <w:sz w:val="24"/>
              </w:rPr>
              <w:t>400 North Fifth Street</w:t>
            </w:r>
          </w:p>
          <w:p>
            <w:pPr>
              <w:pStyle w:val="Normal"/>
              <w:rPr>
                <w:sz w:val="24"/>
              </w:rPr>
            </w:pPr>
            <w:r>
              <w:rPr>
                <w:sz w:val="24"/>
              </w:rPr>
              <w:t xml:space="preserve">   </w:t>
            </w:r>
            <w:r>
              <w:rPr>
                <w:sz w:val="24"/>
              </w:rPr>
              <w:t>Phoenix, Arizona  85004</w:t>
            </w:r>
          </w:p>
          <w:p>
            <w:pPr>
              <w:pStyle w:val="Normal"/>
              <w:rPr>
                <w:sz w:val="24"/>
              </w:rPr>
            </w:pPr>
            <w:r>
              <w:rPr>
                <w:sz w:val="24"/>
              </w:rPr>
              <w:t xml:space="preserve">   </w:t>
            </w:r>
            <w:r>
              <w:rPr>
                <w:sz w:val="24"/>
              </w:rPr>
              <w:t>(602) 250-3541 (voice)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i/>
                <w:i/>
                <w:sz w:val="24"/>
              </w:rPr>
            </w:pPr>
            <w:r>
              <w:rPr>
                <w:sz w:val="24"/>
              </w:rPr>
              <w:t xml:space="preserve">   </w:t>
            </w:r>
            <w:r>
              <w:rPr>
                <w:sz w:val="24"/>
              </w:rPr>
              <w:t>_________________________________</w:t>
            </w:r>
          </w:p>
          <w:p>
            <w:pPr>
              <w:pStyle w:val="Normal"/>
              <w:rPr>
                <w:sz w:val="24"/>
              </w:rPr>
            </w:pPr>
            <w:r>
              <w:rPr>
                <w:sz w:val="24"/>
              </w:rPr>
              <w:t xml:space="preserve">   </w:t>
            </w:r>
            <w:r>
              <w:rPr>
                <w:sz w:val="24"/>
              </w:rPr>
              <w:t>John D. McGrane</w:t>
            </w:r>
          </w:p>
          <w:p>
            <w:pPr>
              <w:pStyle w:val="Normal"/>
              <w:rPr>
                <w:sz w:val="24"/>
              </w:rPr>
            </w:pPr>
            <w:r>
              <w:rPr>
                <w:sz w:val="24"/>
              </w:rPr>
              <w:t xml:space="preserve">   </w:t>
            </w:r>
            <w:r>
              <w:rPr>
                <w:sz w:val="24"/>
              </w:rPr>
              <w:t>Morgan Lewis &amp; Bockius LLP</w:t>
            </w:r>
          </w:p>
          <w:p>
            <w:pPr>
              <w:pStyle w:val="Normal"/>
              <w:rPr>
                <w:sz w:val="24"/>
              </w:rPr>
            </w:pPr>
            <w:r>
              <w:rPr>
                <w:sz w:val="24"/>
              </w:rPr>
              <w:t xml:space="preserve">   </w:t>
            </w:r>
            <w:r>
              <w:rPr>
                <w:sz w:val="24"/>
              </w:rPr>
              <w:t>1800 M Street, NW</w:t>
            </w:r>
          </w:p>
          <w:p>
            <w:pPr>
              <w:pStyle w:val="Normal"/>
              <w:rPr>
                <w:sz w:val="24"/>
              </w:rPr>
            </w:pPr>
            <w:r>
              <w:rPr>
                <w:sz w:val="24"/>
              </w:rPr>
              <w:t xml:space="preserve">   </w:t>
            </w:r>
            <w:r>
              <w:rPr>
                <w:sz w:val="24"/>
              </w:rPr>
              <w:t>Washington, DC  20036</w:t>
            </w:r>
          </w:p>
          <w:p>
            <w:pPr>
              <w:pStyle w:val="Normal"/>
              <w:rPr>
                <w:sz w:val="24"/>
              </w:rPr>
            </w:pPr>
            <w:r>
              <w:rPr>
                <w:sz w:val="24"/>
              </w:rPr>
              <w:t xml:space="preserve">  </w:t>
            </w:r>
            <w:r>
              <w:rPr>
                <w:sz w:val="24"/>
              </w:rPr>
              <w:t>(202) 467-7621 (voice)</w:t>
            </w:r>
          </w:p>
          <w:p>
            <w:pPr>
              <w:pStyle w:val="Heading2"/>
              <w:ind w:hanging="0" w:start="0"/>
              <w:rPr/>
            </w:pPr>
            <w:r>
              <w:rPr/>
              <w:t xml:space="preserve">  </w:t>
            </w:r>
          </w:p>
          <w:p>
            <w:pPr>
              <w:pStyle w:val="Heading2"/>
              <w:ind w:hanging="0" w:start="0"/>
              <w:rPr/>
            </w:pPr>
            <w:r>
              <w:rPr/>
            </w:r>
          </w:p>
          <w:p>
            <w:pPr>
              <w:pStyle w:val="Heading2"/>
              <w:ind w:hanging="0" w:start="0"/>
              <w:jc w:val="start"/>
              <w:rPr>
                <w:b w:val="false"/>
                <w:i/>
                <w:i/>
              </w:rPr>
            </w:pPr>
            <w:r>
              <w:rPr>
                <w:b w:val="false"/>
                <w:i/>
              </w:rPr>
              <w:t>Attorneys for Arizona Public Service     Company</w:t>
            </w:r>
          </w:p>
          <w:p>
            <w:pPr>
              <w:pStyle w:val="Normal"/>
              <w:rPr>
                <w:b/>
                <w:i/>
                <w:i/>
                <w:sz w:val="24"/>
                <w:lang w:eastAsia="en-US"/>
              </w:rPr>
            </w:pPr>
            <w:r>
              <w:rPr>
                <w:b/>
                <w:i/>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t xml:space="preserve">  </w:t>
            </w:r>
            <w:r>
              <w:rPr>
                <w:sz w:val="24"/>
                <w:lang w:eastAsia="en-US"/>
              </w:rPr>
              <w:t>___________________________________</w:t>
            </w:r>
          </w:p>
          <w:p>
            <w:pPr>
              <w:pStyle w:val="Normal"/>
              <w:rPr>
                <w:sz w:val="24"/>
                <w:lang w:eastAsia="en-US"/>
              </w:rPr>
            </w:pPr>
            <w:r>
              <w:rPr>
                <w:sz w:val="24"/>
                <w:lang w:eastAsia="en-US"/>
              </w:rPr>
              <w:t xml:space="preserve">  </w:t>
            </w:r>
            <w:r>
              <w:rPr>
                <w:sz w:val="24"/>
                <w:lang w:eastAsia="en-US"/>
              </w:rPr>
              <w:t>John D. McGrane</w:t>
            </w:r>
          </w:p>
          <w:p>
            <w:pPr>
              <w:pStyle w:val="Normal"/>
              <w:rPr>
                <w:sz w:val="24"/>
                <w:lang w:eastAsia="en-US"/>
              </w:rPr>
            </w:pPr>
            <w:r>
              <w:rPr>
                <w:sz w:val="24"/>
                <w:lang w:eastAsia="en-US"/>
              </w:rPr>
              <w:t xml:space="preserve">  </w:t>
            </w:r>
            <w:r>
              <w:rPr>
                <w:sz w:val="24"/>
                <w:lang w:eastAsia="en-US"/>
              </w:rPr>
              <w:t>Michael C. Griffen</w:t>
            </w:r>
          </w:p>
          <w:p>
            <w:pPr>
              <w:pStyle w:val="Normal"/>
              <w:rPr>
                <w:sz w:val="24"/>
                <w:lang w:eastAsia="en-US"/>
              </w:rPr>
            </w:pPr>
            <w:r>
              <w:rPr>
                <w:sz w:val="24"/>
                <w:lang w:eastAsia="en-US"/>
              </w:rPr>
              <w:t xml:space="preserve">  </w:t>
            </w:r>
            <w:r>
              <w:rPr>
                <w:sz w:val="24"/>
                <w:lang w:eastAsia="en-US"/>
              </w:rPr>
              <w:t>Morgan, Lewis &amp; Bockius, LLP</w:t>
            </w:r>
          </w:p>
          <w:p>
            <w:pPr>
              <w:pStyle w:val="Normal"/>
              <w:rPr>
                <w:sz w:val="24"/>
                <w:lang w:eastAsia="en-US"/>
              </w:rPr>
            </w:pPr>
            <w:r>
              <w:rPr>
                <w:sz w:val="24"/>
                <w:lang w:eastAsia="en-US"/>
              </w:rPr>
              <w:t xml:space="preserve">  </w:t>
            </w:r>
            <w:r>
              <w:rPr>
                <w:sz w:val="24"/>
                <w:lang w:eastAsia="en-US"/>
              </w:rPr>
              <w:t>1800 M Street, N.W.</w:t>
            </w:r>
          </w:p>
          <w:p>
            <w:pPr>
              <w:pStyle w:val="Normal"/>
              <w:rPr>
                <w:sz w:val="24"/>
                <w:lang w:eastAsia="en-US"/>
              </w:rPr>
            </w:pPr>
            <w:r>
              <w:rPr>
                <w:sz w:val="24"/>
                <w:lang w:eastAsia="en-US"/>
              </w:rPr>
              <w:t xml:space="preserve">  </w:t>
            </w:r>
            <w:r>
              <w:rPr>
                <w:sz w:val="24"/>
                <w:lang w:eastAsia="en-US"/>
              </w:rPr>
              <w:t>Washington, D.C.  20036</w:t>
            </w:r>
          </w:p>
          <w:p>
            <w:pPr>
              <w:pStyle w:val="Normal"/>
              <w:rPr>
                <w:sz w:val="24"/>
                <w:lang w:eastAsia="en-US"/>
              </w:rPr>
            </w:pPr>
            <w:r>
              <w:rPr>
                <w:sz w:val="24"/>
                <w:lang w:eastAsia="en-US"/>
              </w:rPr>
              <w:t xml:space="preserve">  </w:t>
            </w:r>
            <w:r>
              <w:rPr>
                <w:sz w:val="24"/>
                <w:lang w:eastAsia="en-US"/>
              </w:rPr>
              <w:t>(202) 467-7000 (voice)</w:t>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t xml:space="preserve"> </w:t>
            </w:r>
          </w:p>
          <w:p>
            <w:pPr>
              <w:pStyle w:val="FootnoteText"/>
              <w:rPr>
                <w:sz w:val="24"/>
                <w:lang w:eastAsia="en-US"/>
              </w:rPr>
            </w:pPr>
            <w:r>
              <w:rPr>
                <w:sz w:val="24"/>
                <w:lang w:eastAsia="en-US"/>
              </w:rPr>
              <w:t xml:space="preserve"> </w:t>
            </w:r>
            <w:r>
              <w:rPr>
                <w:sz w:val="24"/>
                <w:lang w:eastAsia="en-US"/>
              </w:rPr>
              <w:t>___________________________________</w:t>
            </w:r>
          </w:p>
          <w:p>
            <w:pPr>
              <w:pStyle w:val="Normal"/>
              <w:rPr>
                <w:sz w:val="24"/>
                <w:lang w:eastAsia="en-US"/>
              </w:rPr>
            </w:pPr>
            <w:r>
              <w:rPr>
                <w:sz w:val="24"/>
                <w:lang w:eastAsia="en-US"/>
              </w:rPr>
              <w:t xml:space="preserve">  </w:t>
            </w:r>
            <w:r>
              <w:rPr>
                <w:sz w:val="24"/>
                <w:lang w:eastAsia="en-US"/>
              </w:rPr>
              <w:t>Phillip M. Fantle</w:t>
            </w:r>
          </w:p>
          <w:p>
            <w:pPr>
              <w:pStyle w:val="Normal"/>
              <w:rPr>
                <w:sz w:val="24"/>
                <w:lang w:eastAsia="en-US"/>
              </w:rPr>
            </w:pPr>
            <w:r>
              <w:rPr>
                <w:sz w:val="24"/>
                <w:lang w:eastAsia="en-US"/>
              </w:rPr>
              <w:t xml:space="preserve">  </w:t>
            </w:r>
            <w:r>
              <w:rPr>
                <w:sz w:val="24"/>
                <w:lang w:eastAsia="en-US"/>
              </w:rPr>
              <w:t>Cargill, Incorporated</w:t>
            </w:r>
          </w:p>
          <w:p>
            <w:pPr>
              <w:pStyle w:val="Normal"/>
              <w:rPr>
                <w:sz w:val="24"/>
                <w:lang w:eastAsia="en-US"/>
              </w:rPr>
            </w:pPr>
            <w:r>
              <w:rPr>
                <w:sz w:val="24"/>
                <w:lang w:eastAsia="en-US"/>
              </w:rPr>
              <w:t xml:space="preserve">  </w:t>
            </w:r>
            <w:r>
              <w:rPr>
                <w:sz w:val="24"/>
                <w:lang w:eastAsia="en-US"/>
              </w:rPr>
              <w:t>12700 Whitewater Drive</w:t>
            </w:r>
          </w:p>
          <w:p>
            <w:pPr>
              <w:pStyle w:val="Normal"/>
              <w:rPr>
                <w:sz w:val="24"/>
                <w:lang w:eastAsia="en-US"/>
              </w:rPr>
            </w:pPr>
            <w:r>
              <w:rPr>
                <w:sz w:val="24"/>
                <w:lang w:eastAsia="en-US"/>
              </w:rPr>
              <w:t xml:space="preserve">  </w:t>
            </w:r>
            <w:r>
              <w:rPr>
                <w:sz w:val="24"/>
                <w:lang w:eastAsia="en-US"/>
              </w:rPr>
              <w:t>Minnetonka, MN  55343</w:t>
            </w:r>
          </w:p>
          <w:p>
            <w:pPr>
              <w:pStyle w:val="Normal"/>
              <w:rPr>
                <w:sz w:val="24"/>
                <w:lang w:eastAsia="en-US"/>
              </w:rPr>
            </w:pPr>
            <w:r>
              <w:rPr>
                <w:sz w:val="24"/>
                <w:lang w:eastAsia="en-US"/>
              </w:rPr>
              <w:t xml:space="preserve">  </w:t>
            </w:r>
            <w:r>
              <w:rPr>
                <w:sz w:val="24"/>
                <w:lang w:eastAsia="en-US"/>
              </w:rPr>
              <w:t>(952) 984-3419 (voice)</w:t>
            </w:r>
          </w:p>
          <w:p>
            <w:pPr>
              <w:pStyle w:val="Normal"/>
              <w:rPr>
                <w:sz w:val="24"/>
                <w:lang w:eastAsia="en-US"/>
              </w:rPr>
            </w:pPr>
            <w:r>
              <w:rPr>
                <w:sz w:val="24"/>
                <w:lang w:eastAsia="en-US"/>
              </w:rPr>
            </w:r>
          </w:p>
          <w:p>
            <w:pPr>
              <w:pStyle w:val="Normal"/>
              <w:rPr>
                <w:sz w:val="24"/>
                <w:lang w:eastAsia="en-US"/>
              </w:rPr>
            </w:pPr>
            <w:r>
              <w:rPr>
                <w:i/>
                <w:sz w:val="24"/>
              </w:rPr>
              <w:t xml:space="preserve">  </w:t>
            </w:r>
            <w:r>
              <w:rPr>
                <w:i/>
                <w:sz w:val="24"/>
              </w:rPr>
              <w:t>Attorneys f</w:t>
            </w:r>
            <w:r>
              <w:rPr>
                <w:i/>
                <w:sz w:val="24"/>
                <w:lang w:eastAsia="en-US"/>
              </w:rPr>
              <w:t>or Cargill-Alliant, LLC</w:t>
            </w:r>
          </w:p>
          <w:p>
            <w:pPr>
              <w:pStyle w:val="Normal"/>
              <w:rPr>
                <w:sz w:val="24"/>
                <w:lang w:eastAsia="en-US"/>
              </w:rPr>
            </w:pPr>
            <w:r>
              <w:rPr>
                <w:sz w:val="24"/>
                <w:lang w:eastAsia="en-US"/>
              </w:rPr>
            </w:r>
          </w:p>
          <w:p>
            <w:pPr>
              <w:pStyle w:val="Normal"/>
              <w:rPr>
                <w:i/>
                <w:i/>
                <w:sz w:val="24"/>
                <w:lang w:eastAsia="en-US"/>
              </w:rPr>
            </w:pPr>
            <w:r>
              <w:rPr>
                <w:i/>
                <w:sz w:val="24"/>
                <w:lang w:eastAsia="en-US"/>
              </w:rPr>
            </w:r>
          </w:p>
          <w:p>
            <w:pPr>
              <w:pStyle w:val="Normal"/>
              <w:rPr>
                <w:i/>
                <w:i/>
                <w:sz w:val="24"/>
                <w:lang w:eastAsia="en-US"/>
              </w:rPr>
            </w:pPr>
            <w:r>
              <w:rPr>
                <w:i/>
                <w:sz w:val="24"/>
                <w:lang w:eastAsia="en-US"/>
              </w:rPr>
            </w:r>
          </w:p>
          <w:p>
            <w:pPr>
              <w:pStyle w:val="Normal"/>
              <w:rPr>
                <w:i/>
                <w:i/>
                <w:sz w:val="24"/>
                <w:lang w:eastAsia="en-US"/>
              </w:rPr>
            </w:pPr>
            <w:r>
              <w:rPr>
                <w:i/>
                <w:sz w:val="24"/>
                <w:lang w:eastAsia="en-US"/>
              </w:rPr>
            </w:r>
          </w:p>
          <w:p>
            <w:pPr>
              <w:pStyle w:val="Normal"/>
              <w:rPr>
                <w:sz w:val="24"/>
                <w:lang w:eastAsia="en-US"/>
              </w:rPr>
            </w:pPr>
            <w:r>
              <w:rPr>
                <w:sz w:val="24"/>
                <w:lang w:eastAsia="en-US"/>
              </w:rPr>
              <w:t xml:space="preserve">  </w:t>
            </w:r>
            <w:r>
              <w:rPr>
                <w:sz w:val="24"/>
                <w:lang w:eastAsia="en-US"/>
              </w:rPr>
              <w:t>____________________________________</w:t>
            </w:r>
          </w:p>
          <w:p>
            <w:pPr>
              <w:pStyle w:val="Normal"/>
              <w:rPr>
                <w:sz w:val="24"/>
                <w:lang w:eastAsia="en-US"/>
              </w:rPr>
            </w:pPr>
            <w:r>
              <w:rPr>
                <w:sz w:val="24"/>
                <w:lang w:eastAsia="en-US"/>
              </w:rPr>
              <w:t xml:space="preserve">  </w:t>
            </w:r>
            <w:r>
              <w:rPr>
                <w:sz w:val="24"/>
                <w:lang w:eastAsia="en-US"/>
              </w:rPr>
              <w:t>Henry C. Thumann</w:t>
            </w:r>
          </w:p>
          <w:p>
            <w:pPr>
              <w:pStyle w:val="Normal"/>
              <w:rPr>
                <w:sz w:val="24"/>
                <w:lang w:eastAsia="en-US"/>
              </w:rPr>
            </w:pPr>
            <w:r>
              <w:rPr>
                <w:sz w:val="24"/>
                <w:lang w:eastAsia="en-US"/>
              </w:rPr>
              <w:t xml:space="preserve">  </w:t>
            </w:r>
            <w:r>
              <w:rPr>
                <w:sz w:val="24"/>
                <w:lang w:eastAsia="en-US"/>
              </w:rPr>
              <w:t>John W. Stamper</w:t>
            </w:r>
          </w:p>
          <w:p>
            <w:pPr>
              <w:pStyle w:val="Normal"/>
              <w:rPr>
                <w:sz w:val="24"/>
                <w:lang w:eastAsia="en-US"/>
              </w:rPr>
            </w:pPr>
            <w:r>
              <w:rPr>
                <w:sz w:val="24"/>
                <w:lang w:eastAsia="en-US"/>
              </w:rPr>
              <w:t xml:space="preserve">  </w:t>
            </w:r>
            <w:r>
              <w:rPr>
                <w:sz w:val="24"/>
                <w:lang w:eastAsia="en-US"/>
              </w:rPr>
              <w:t>Brian S. Currey</w:t>
            </w:r>
          </w:p>
          <w:p>
            <w:pPr>
              <w:pStyle w:val="Normal"/>
              <w:rPr>
                <w:sz w:val="24"/>
                <w:lang w:eastAsia="en-US"/>
              </w:rPr>
            </w:pPr>
            <w:r>
              <w:rPr>
                <w:sz w:val="24"/>
                <w:lang w:eastAsia="en-US"/>
              </w:rPr>
              <w:t xml:space="preserve">  </w:t>
            </w:r>
            <w:r>
              <w:rPr>
                <w:sz w:val="24"/>
                <w:lang w:eastAsia="en-US"/>
              </w:rPr>
              <w:t>Marc S. Williams</w:t>
            </w:r>
          </w:p>
          <w:p>
            <w:pPr>
              <w:pStyle w:val="Normal"/>
              <w:rPr>
                <w:sz w:val="24"/>
                <w:lang w:eastAsia="en-US"/>
              </w:rPr>
            </w:pPr>
            <w:r>
              <w:rPr>
                <w:sz w:val="24"/>
                <w:lang w:eastAsia="en-US"/>
              </w:rPr>
              <w:t xml:space="preserve">  </w:t>
            </w:r>
            <w:r>
              <w:rPr>
                <w:sz w:val="24"/>
                <w:lang w:eastAsia="en-US"/>
              </w:rPr>
              <w:t>O'Melveny &amp; Myers LLP</w:t>
            </w:r>
          </w:p>
          <w:p>
            <w:pPr>
              <w:pStyle w:val="Normal"/>
              <w:rPr>
                <w:sz w:val="24"/>
                <w:lang w:eastAsia="en-US"/>
              </w:rPr>
            </w:pPr>
            <w:r>
              <w:rPr>
                <w:sz w:val="24"/>
                <w:lang w:eastAsia="en-US"/>
              </w:rPr>
              <w:t xml:space="preserve">  </w:t>
            </w:r>
            <w:r>
              <w:rPr>
                <w:sz w:val="24"/>
                <w:lang w:eastAsia="en-US"/>
              </w:rPr>
              <w:t>400 S. Hope Street</w:t>
            </w:r>
          </w:p>
          <w:p>
            <w:pPr>
              <w:pStyle w:val="Normal"/>
              <w:rPr>
                <w:sz w:val="24"/>
                <w:lang w:eastAsia="en-US"/>
              </w:rPr>
            </w:pPr>
            <w:r>
              <w:rPr>
                <w:sz w:val="24"/>
                <w:lang w:eastAsia="en-US"/>
              </w:rPr>
              <w:t xml:space="preserve">  </w:t>
            </w:r>
            <w:r>
              <w:rPr>
                <w:sz w:val="24"/>
                <w:lang w:eastAsia="en-US"/>
              </w:rPr>
              <w:t>Los Angeles, CA  90071</w:t>
            </w:r>
          </w:p>
          <w:p>
            <w:pPr>
              <w:pStyle w:val="Normal"/>
              <w:rPr>
                <w:sz w:val="24"/>
                <w:lang w:eastAsia="en-US"/>
              </w:rPr>
            </w:pPr>
            <w:r>
              <w:rPr>
                <w:sz w:val="24"/>
                <w:lang w:eastAsia="en-US"/>
              </w:rPr>
              <w:t xml:space="preserve">  </w:t>
            </w:r>
            <w:r>
              <w:rPr>
                <w:sz w:val="24"/>
                <w:lang w:eastAsia="en-US"/>
              </w:rPr>
              <w:t>(213) 430-6000 (voice)</w:t>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sz w:val="24"/>
                <w:lang w:eastAsia="en-US"/>
              </w:rPr>
            </w:pPr>
            <w:r>
              <w:rPr>
                <w:sz w:val="24"/>
                <w:lang w:eastAsia="en-US"/>
              </w:rPr>
              <w:t xml:space="preserve">  </w:t>
            </w:r>
            <w:r>
              <w:rPr>
                <w:sz w:val="24"/>
                <w:lang w:eastAsia="en-US"/>
              </w:rPr>
              <w:t>_____________________________________</w:t>
            </w:r>
          </w:p>
          <w:p>
            <w:pPr>
              <w:pStyle w:val="Normal"/>
              <w:rPr>
                <w:sz w:val="24"/>
                <w:lang w:eastAsia="en-US"/>
              </w:rPr>
            </w:pPr>
            <w:r>
              <w:rPr>
                <w:sz w:val="24"/>
                <w:lang w:eastAsia="en-US"/>
              </w:rPr>
              <w:t xml:space="preserve">  </w:t>
            </w:r>
            <w:r>
              <w:rPr>
                <w:sz w:val="24"/>
                <w:lang w:eastAsia="en-US"/>
              </w:rPr>
              <w:t>Don Garber, Esq.</w:t>
            </w:r>
          </w:p>
          <w:p>
            <w:pPr>
              <w:pStyle w:val="Normal"/>
              <w:rPr>
                <w:sz w:val="24"/>
                <w:lang w:eastAsia="en-US"/>
              </w:rPr>
            </w:pPr>
            <w:r>
              <w:rPr>
                <w:sz w:val="24"/>
                <w:lang w:eastAsia="en-US"/>
              </w:rPr>
              <w:t xml:space="preserve">  </w:t>
            </w:r>
            <w:r>
              <w:rPr>
                <w:sz w:val="24"/>
                <w:lang w:eastAsia="en-US"/>
              </w:rPr>
              <w:t>San Diego Gas &amp; Electric Company</w:t>
            </w:r>
          </w:p>
          <w:p>
            <w:pPr>
              <w:pStyle w:val="Normal"/>
              <w:rPr>
                <w:sz w:val="24"/>
                <w:lang w:eastAsia="en-US"/>
              </w:rPr>
            </w:pPr>
            <w:r>
              <w:rPr>
                <w:sz w:val="24"/>
                <w:lang w:eastAsia="en-US"/>
              </w:rPr>
              <w:t xml:space="preserve">  </w:t>
            </w:r>
            <w:r>
              <w:rPr>
                <w:sz w:val="24"/>
                <w:lang w:eastAsia="en-US"/>
              </w:rPr>
              <w:t>101 Ash Street, 12th Floor</w:t>
            </w:r>
          </w:p>
          <w:p>
            <w:pPr>
              <w:pStyle w:val="Normal"/>
              <w:rPr>
                <w:sz w:val="24"/>
                <w:lang w:eastAsia="en-US"/>
              </w:rPr>
            </w:pPr>
            <w:r>
              <w:rPr>
                <w:sz w:val="24"/>
                <w:lang w:eastAsia="en-US"/>
              </w:rPr>
              <w:t xml:space="preserve">  </w:t>
            </w:r>
            <w:r>
              <w:rPr>
                <w:sz w:val="24"/>
                <w:lang w:eastAsia="en-US"/>
              </w:rPr>
              <w:t>San Diego, CA  92101</w:t>
            </w:r>
          </w:p>
          <w:p>
            <w:pPr>
              <w:pStyle w:val="Normal"/>
              <w:rPr>
                <w:sz w:val="24"/>
                <w:lang w:eastAsia="en-US"/>
              </w:rPr>
            </w:pPr>
            <w:r>
              <w:rPr>
                <w:sz w:val="24"/>
                <w:lang w:eastAsia="en-US"/>
              </w:rPr>
            </w:r>
          </w:p>
          <w:p>
            <w:pPr>
              <w:pStyle w:val="Normal"/>
              <w:rPr>
                <w:sz w:val="24"/>
              </w:rPr>
            </w:pPr>
            <w:r>
              <w:rPr>
                <w:i/>
                <w:sz w:val="24"/>
                <w:lang w:eastAsia="en-US"/>
              </w:rPr>
              <w:t xml:space="preserve"> </w:t>
            </w:r>
            <w:r>
              <w:rPr>
                <w:i/>
                <w:sz w:val="24"/>
                <w:lang w:eastAsia="en-US"/>
              </w:rPr>
              <w:t>Attorneys for San Diego Gas &amp; Electric      Company</w:t>
            </w:r>
          </w:p>
          <w:p>
            <w:pPr>
              <w:pStyle w:val="Normal"/>
              <w:rPr>
                <w:sz w:val="24"/>
              </w:rPr>
            </w:pPr>
            <w:r>
              <w:rPr>
                <w:sz w:val="24"/>
              </w:rPr>
            </w:r>
          </w:p>
          <w:p>
            <w:pPr>
              <w:pStyle w:val="Normal"/>
              <w:rPr>
                <w:sz w:val="24"/>
              </w:rPr>
            </w:pPr>
            <w:r>
              <w:rPr>
                <w:sz w:val="24"/>
              </w:rPr>
            </w:r>
          </w:p>
          <w:p>
            <w:pPr>
              <w:pStyle w:val="Normal"/>
              <w:rPr>
                <w:sz w:val="24"/>
              </w:rPr>
            </w:pPr>
            <w:r>
              <w:rPr>
                <w:sz w:val="24"/>
              </w:rPr>
              <w:t xml:space="preserve"> </w:t>
            </w:r>
            <w:r>
              <w:rPr>
                <w:sz w:val="24"/>
              </w:rPr>
              <w:t>_________________________________</w:t>
            </w:r>
          </w:p>
          <w:p>
            <w:pPr>
              <w:pStyle w:val="Normal"/>
              <w:rPr>
                <w:sz w:val="24"/>
              </w:rPr>
            </w:pPr>
            <w:r>
              <w:rPr>
                <w:sz w:val="24"/>
              </w:rPr>
              <w:t xml:space="preserve">  </w:t>
            </w:r>
            <w:r>
              <w:rPr>
                <w:sz w:val="24"/>
              </w:rPr>
              <w:t>Richard C. Josephson</w:t>
            </w:r>
          </w:p>
          <w:p>
            <w:pPr>
              <w:pStyle w:val="Normal"/>
              <w:rPr>
                <w:sz w:val="24"/>
              </w:rPr>
            </w:pPr>
            <w:r>
              <w:rPr>
                <w:sz w:val="24"/>
              </w:rPr>
              <w:t xml:space="preserve">  </w:t>
            </w:r>
            <w:r>
              <w:rPr>
                <w:sz w:val="24"/>
              </w:rPr>
              <w:t>Per A. Ramfjord</w:t>
            </w:r>
          </w:p>
          <w:p>
            <w:pPr>
              <w:pStyle w:val="Normal"/>
              <w:rPr>
                <w:sz w:val="24"/>
              </w:rPr>
            </w:pPr>
            <w:r>
              <w:rPr>
                <w:sz w:val="24"/>
              </w:rPr>
              <w:t xml:space="preserve">  </w:t>
            </w:r>
            <w:r>
              <w:rPr>
                <w:sz w:val="24"/>
              </w:rPr>
              <w:t>Scott J. Kaplan</w:t>
            </w:r>
          </w:p>
          <w:p>
            <w:pPr>
              <w:pStyle w:val="Normal"/>
              <w:rPr>
                <w:sz w:val="24"/>
              </w:rPr>
            </w:pPr>
            <w:r>
              <w:rPr>
                <w:sz w:val="24"/>
              </w:rPr>
              <w:t xml:space="preserve">  </w:t>
            </w:r>
            <w:r>
              <w:rPr>
                <w:sz w:val="24"/>
              </w:rPr>
              <w:t>Stoel Rives L.L.P.</w:t>
            </w:r>
          </w:p>
          <w:p>
            <w:pPr>
              <w:pStyle w:val="Normal"/>
              <w:rPr>
                <w:sz w:val="24"/>
              </w:rPr>
            </w:pPr>
            <w:r>
              <w:rPr>
                <w:sz w:val="24"/>
              </w:rPr>
              <w:t xml:space="preserve">  </w:t>
            </w:r>
            <w:r>
              <w:rPr>
                <w:sz w:val="24"/>
              </w:rPr>
              <w:t>900 SW Fifth Avenue, Suite 2600</w:t>
            </w:r>
          </w:p>
          <w:p>
            <w:pPr>
              <w:pStyle w:val="Normal"/>
              <w:rPr>
                <w:sz w:val="24"/>
              </w:rPr>
            </w:pPr>
            <w:r>
              <w:rPr>
                <w:sz w:val="24"/>
              </w:rPr>
              <w:t xml:space="preserve">  </w:t>
            </w:r>
            <w:r>
              <w:rPr>
                <w:sz w:val="24"/>
              </w:rPr>
              <w:t>Portland, OR  97204-1268</w:t>
            </w:r>
          </w:p>
          <w:p>
            <w:pPr>
              <w:pStyle w:val="Normal"/>
              <w:rPr>
                <w:sz w:val="24"/>
              </w:rPr>
            </w:pPr>
            <w:r>
              <w:rPr>
                <w:sz w:val="24"/>
              </w:rPr>
              <w:t xml:space="preserve">  </w:t>
            </w:r>
            <w:r>
              <w:rPr>
                <w:sz w:val="24"/>
              </w:rPr>
              <w:t>(503) 224-3380 (voice)</w:t>
            </w:r>
          </w:p>
          <w:p>
            <w:pPr>
              <w:pStyle w:val="Normal"/>
              <w:rPr>
                <w:sz w:val="24"/>
              </w:rPr>
            </w:pPr>
            <w:r>
              <w:rPr>
                <w:sz w:val="24"/>
              </w:rPr>
            </w:r>
          </w:p>
          <w:p>
            <w:pPr>
              <w:pStyle w:val="Normal"/>
              <w:rPr>
                <w:i/>
                <w:i/>
                <w:sz w:val="24"/>
              </w:rPr>
            </w:pPr>
            <w:r>
              <w:rPr>
                <w:i/>
                <w:sz w:val="24"/>
              </w:rPr>
              <w:t xml:space="preserve">  </w:t>
            </w:r>
            <w:r>
              <w:rPr>
                <w:i/>
                <w:sz w:val="24"/>
              </w:rPr>
              <w:t xml:space="preserve">Attorneys for </w:t>
            </w:r>
            <w:r>
              <w:rPr>
                <w:i/>
                <w:sz w:val="24"/>
                <w:lang w:eastAsia="en-US"/>
              </w:rPr>
              <w:t>PacifiCorp</w:t>
            </w:r>
          </w:p>
          <w:p>
            <w:pPr>
              <w:pStyle w:val="Normal"/>
              <w:rPr>
                <w:i/>
                <w:i/>
                <w:sz w:val="24"/>
              </w:rPr>
            </w:pPr>
            <w:r>
              <w:rPr>
                <w:i/>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tc>
      </w:tr>
    </w:tbl>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FootnoteText"/>
        <w:rPr>
          <w:sz w:val="24"/>
        </w:rPr>
      </w:pPr>
      <w:r>
        <w:rPr>
          <w:sz w:val="24"/>
        </w:rPr>
      </w:r>
    </w:p>
    <w:p>
      <w:pPr>
        <w:pStyle w:val="Normal"/>
        <w:rPr>
          <w:sz w:val="24"/>
        </w:rPr>
      </w:pPr>
      <w:r>
        <w:rPr>
          <w:sz w:val="24"/>
        </w:rPr>
      </w:r>
    </w:p>
    <w:p>
      <w:pPr>
        <w:pStyle w:val="Normal"/>
        <w:rPr>
          <w:sz w:val="24"/>
        </w:rPr>
      </w:pPr>
      <w:r>
        <w:rPr>
          <w:sz w:val="24"/>
        </w:rPr>
      </w:r>
    </w:p>
    <w:p>
      <w:pPr>
        <w:pStyle w:val="BodyTextIndent"/>
        <w:spacing w:lineRule="auto" w:line="480"/>
        <w:ind w:start="0" w:end="0"/>
        <w:jc w:val="both"/>
        <w:rPr>
          <w:sz w:val="24"/>
          <w:lang w:eastAsia="en-US"/>
        </w:rPr>
      </w:pPr>
      <w:r>
        <w:rPr>
          <w:sz w:val="24"/>
          <w:lang w:eastAsia="en-US"/>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2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sz w:val="24"/>
      </w:rPr>
    </w:pPr>
    <w:r>
      <w:rPr>
        <w:sz w:val="24"/>
      </w:rPr>
      <w:t>Complaint for Suspension of CalPX Chargeback</w:t>
      <w:tab/>
      <w:t xml:space="preserve">        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21</w:t>
    </w:r>
    <w:r>
      <w:rPr>
        <w:rStyle w:val="PageNumber"/>
        <w:sz w:val="24"/>
      </w:rPr>
      <w:fldChar w:fldCharType="end"/>
    </w:r>
  </w:p>
  <w:p>
    <w:pPr>
      <w:pStyle w:val="Header"/>
      <w:rPr>
        <w:rStyle w:val="PageNumber"/>
        <w:sz w:val="24"/>
      </w:rPr>
    </w:pPr>
    <w:r>
      <w:rPr>
        <w:sz w:val="24"/>
      </w:rPr>
      <w:t>Docket No. EL01-___-000</w:t>
      <w:tab/>
      <w:tab/>
    </w:r>
  </w:p>
  <w:p>
    <w:pPr>
      <w:pStyle w:val="Header"/>
      <w:rPr/>
    </w:pPr>
    <w:r>
      <w:rPr>
        <w:rStyle w:val="PageNumber"/>
        <w:sz w:val="24"/>
      </w:rPr>
      <w:t>______________________________________________________________________________</w:t>
    </w:r>
    <w:r>
      <w:rPr>
        <w:sz w:val="24"/>
      </w:rPr>
      <w:t xml:space="preserve"> </w:t>
    </w:r>
  </w:p>
  <w:p>
    <w:pPr>
      <w:pStyle w:val="Header"/>
      <w:rPr>
        <w:sz w:val="24"/>
      </w:rPr>
    </w:pPr>
    <w:r>
      <w:rPr>
        <w:sz w:val="24"/>
      </w:rPr>
    </w:r>
  </w:p>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ind w:hanging="0" w:start="0"/>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Complaint for Suspension of CalPX Chargeback</w:t>
      <w:tab/>
      <w:t xml:space="preserve">                                                                 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24</w:t>
    </w:r>
    <w:r>
      <w:rPr>
        <w:rStyle w:val="PageNumber"/>
        <w:sz w:val="24"/>
      </w:rPr>
      <w:fldChar w:fldCharType="end"/>
    </w:r>
  </w:p>
  <w:p>
    <w:pPr>
      <w:pStyle w:val="Header"/>
      <w:rPr>
        <w:sz w:val="24"/>
      </w:rPr>
    </w:pPr>
    <w:r>
      <w:rPr>
        <w:sz w:val="24"/>
      </w:rPr>
      <w:t>Docket No. EL01-___-000</w:t>
      <w:tab/>
      <w:tab/>
    </w:r>
  </w:p>
  <w:p>
    <w:pPr>
      <w:pStyle w:val="Header"/>
      <w:rPr>
        <w:rStyle w:val="PageNumber"/>
        <w:sz w:val="24"/>
      </w:rPr>
    </w:pPr>
    <w:r>
      <w:rPr>
        <w:sz w:val="24"/>
        <w:lang w:val="en-CA"/>
      </w:rPr>
      <mc:AlternateContent>
        <mc:Choice Requires="wps">
          <w:drawing>
            <wp:anchor behindDoc="1" distT="0" distB="0" distL="114935" distR="114935" simplePos="0" locked="0" layoutInCell="1" allowOverlap="1" relativeHeight="24">
              <wp:simplePos x="0" y="0"/>
              <wp:positionH relativeFrom="column">
                <wp:posOffset>0</wp:posOffset>
              </wp:positionH>
              <wp:positionV relativeFrom="paragraph">
                <wp:posOffset>106680</wp:posOffset>
              </wp:positionV>
              <wp:extent cx="5943600" cy="0"/>
              <wp:effectExtent l="0" t="5080" r="0" b="5080"/>
              <wp:wrapNone/>
              <wp:docPr id="2"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8.4pt" to="467.95pt,8.4pt" stroked="t" o:allowincell="f" style="position:absolute">
              <v:stroke color="black" weight="9360" joinstyle="miter" endcap="flat"/>
              <v:fill o:detectmouseclick="t" on="false"/>
              <w10:wrap type="none"/>
            </v:line>
          </w:pict>
        </mc:Fallback>
      </mc:AlternateContent>
    </w:r>
  </w:p>
  <w:p>
    <w:pPr>
      <w:pStyle w:val="Header"/>
      <w:rPr>
        <w:rStyle w:val="PageNumber"/>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Letter"/>
      <w:lvlText w:val="%1."/>
      <w:lvlJc w:val="start"/>
      <w:pPr>
        <w:tabs>
          <w:tab w:val="num" w:pos="1080"/>
        </w:tabs>
        <w:ind w:start="1080" w:hanging="360"/>
      </w:pPr>
      <w:rPr/>
    </w:lvl>
  </w:abstractNum>
  <w:abstractNum w:abstractNumId="3">
    <w:lvl w:ilvl="0">
      <w:start w:val="1"/>
      <w:numFmt w:val="upperLetter"/>
      <w:lvlText w:val="%1."/>
      <w:lvlJc w:val="start"/>
      <w:pPr>
        <w:tabs>
          <w:tab w:val="num" w:pos="1440"/>
        </w:tabs>
        <w:ind w:start="1440" w:hanging="720"/>
      </w:pPr>
      <w:rPr/>
    </w:lvl>
  </w:abstractNum>
  <w:abstractNum w:abstractNumId="4">
    <w:lvl w:ilvl="0">
      <w:start w:val="2"/>
      <w:numFmt w:val="upperRoman"/>
      <w:lvlText w:val="%1."/>
      <w:lvlJc w:val="start"/>
      <w:pPr>
        <w:tabs>
          <w:tab w:val="num" w:pos="720"/>
        </w:tabs>
        <w:ind w:start="720" w:hanging="720"/>
      </w:pPr>
      <w:rPr/>
    </w:lvl>
  </w:abstractNum>
  <w:abstractNum w:abstractNumId="5">
    <w:lvl w:ilvl="0">
      <w:start w:val="5"/>
      <w:numFmt w:val="decimal"/>
      <w:lvlText w:val=""/>
      <w:lvlJc w:val="start"/>
      <w:pPr>
        <w:tabs>
          <w:tab w:val="num" w:pos="360"/>
        </w:tabs>
        <w:ind w:start="360" w:hanging="360"/>
      </w:pPr>
      <w:rPr/>
    </w:lvl>
  </w:abstractNum>
  <w:abstractNum w:abstractNumId="6">
    <w:lvl w:ilvl="0">
      <w:start w:val="1"/>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jc w:val="end"/>
      <w:outlineLvl w:val="1"/>
    </w:pPr>
    <w:rPr>
      <w:b/>
      <w:sz w:val="24"/>
    </w:rPr>
  </w:style>
  <w:style w:type="paragraph" w:styleId="Heading3">
    <w:name w:val="heading 3"/>
    <w:basedOn w:val="Normal"/>
    <w:next w:val="Normal"/>
    <w:qFormat/>
    <w:pPr>
      <w:keepNext w:val="true"/>
      <w:numPr>
        <w:ilvl w:val="2"/>
        <w:numId w:val="1"/>
      </w:numPr>
      <w:jc w:val="end"/>
      <w:outlineLvl w:val="2"/>
    </w:pPr>
    <w:rPr>
      <w:b/>
      <w:sz w:val="24"/>
      <w:u w:val="single"/>
    </w:rPr>
  </w:style>
  <w:style w:type="paragraph" w:styleId="Heading4">
    <w:name w:val="heading 4"/>
    <w:basedOn w:val="Normal"/>
    <w:next w:val="Normal"/>
    <w:qFormat/>
    <w:pPr>
      <w:keepNext w:val="true"/>
      <w:numPr>
        <w:ilvl w:val="3"/>
        <w:numId w:val="1"/>
      </w:numPr>
      <w:jc w:val="end"/>
      <w:outlineLvl w:val="3"/>
    </w:pPr>
    <w:rPr>
      <w:b/>
      <w:sz w:val="28"/>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spacing w:lineRule="auto" w:line="480"/>
      <w:jc w:val="center"/>
      <w:outlineLvl w:val="5"/>
    </w:pPr>
    <w:rPr>
      <w:b/>
      <w:sz w:val="24"/>
    </w:rPr>
  </w:style>
  <w:style w:type="paragraph" w:styleId="Heading7">
    <w:name w:val="heading 7"/>
    <w:basedOn w:val="Normal"/>
    <w:next w:val="Normal"/>
    <w:qFormat/>
    <w:pPr>
      <w:keepNext w:val="true"/>
      <w:numPr>
        <w:ilvl w:val="0"/>
        <w:numId w:val="4"/>
      </w:numPr>
      <w:spacing w:lineRule="auto" w:line="480"/>
      <w:jc w:val="center"/>
      <w:outlineLvl w:val="6"/>
    </w:pPr>
    <w:rPr>
      <w:b/>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i/>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z w:val="24"/>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hanging="0" w:start="1440" w:end="0"/>
    </w:pPr>
    <w:rPr>
      <w:sz w:val="24"/>
    </w:rPr>
  </w:style>
  <w:style w:type="paragraph" w:styleId="BodyTextIndent2">
    <w:name w:val="Body Text Indent 2"/>
    <w:basedOn w:val="Normal"/>
    <w:qFormat/>
    <w:pPr>
      <w:spacing w:lineRule="auto" w:line="480"/>
      <w:ind w:firstLine="720" w:start="0" w:end="0"/>
    </w:pPr>
    <w:rPr>
      <w:sz w:val="24"/>
    </w:rPr>
  </w:style>
  <w:style w:type="paragraph" w:styleId="BodyTextIndent3">
    <w:name w:val="Body Text Indent 3"/>
    <w:basedOn w:val="Normal"/>
    <w:qFormat/>
    <w:pPr>
      <w:ind w:hanging="0" w:start="720" w:end="0"/>
    </w:pPr>
    <w:rPr>
      <w:b/>
      <w:i/>
      <w:sz w:val="24"/>
    </w:rPr>
  </w:style>
  <w:style w:type="paragraph" w:styleId="1Paragraph">
    <w:name w:val="1Paragraph"/>
    <w:qFormat/>
    <w:pPr>
      <w:widowControl/>
      <w:bidi w:val="0"/>
      <w:jc w:val="both"/>
    </w:pPr>
    <w:rPr>
      <w:rFonts w:ascii="Times New Roman" w:hAnsi="Times New Roman" w:eastAsia="Times New Roman" w:cs="Times New Roman"/>
      <w:color w:val="auto"/>
      <w:sz w:val="24"/>
      <w:szCs w:val="20"/>
      <w:lang w:val="en-US" w:eastAsia="en-US" w:bidi="hi-IN"/>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2001-02-08T14:58:00Z</dcterms:created>
  <dc:creator>Van Ness Feldman</dc:creator>
  <dc:description/>
  <dc:language>en-CA</dc:language>
  <cp:lastModifiedBy>Bracewell &amp; Patterson</cp:lastModifiedBy>
  <cp:lastPrinted>2001-02-08T11:36:00Z</cp:lastPrinted>
  <dcterms:modified xsi:type="dcterms:W3CDTF">2001-02-08T14:58:00Z</dcterms:modified>
  <cp:revision>2</cp:revision>
  <dc:subject/>
  <dc:title>UNITED STATES OF AMERICA</dc:title>
</cp:coreProperties>
</file>