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CALPINE MONTHLY GAS NOMINATION</w:t>
      </w:r>
    </w:p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TO:</w:t>
        <w:tab/>
        <w:t>ENRON CAPITAL &amp; TRADE RESOURCES</w:t>
      </w:r>
    </w:p>
    <w:p>
      <w:pPr>
        <w:pStyle w:val="Normal"/>
        <w:rPr/>
      </w:pPr>
      <w:r>
        <w:rPr/>
        <w:tab/>
        <w:t>ATTN:  ROBERT LLOYD</w:t>
      </w:r>
    </w:p>
    <w:p>
      <w:pPr>
        <w:pStyle w:val="Normal"/>
        <w:rPr/>
      </w:pPr>
      <w:r>
        <w:rPr/>
        <w:tab/>
      </w:r>
      <w:r>
        <w:rPr>
          <w:b/>
        </w:rPr>
        <w:t xml:space="preserve">RLLOYD@ENRON.COM </w:t>
      </w:r>
    </w:p>
    <w:p>
      <w:pPr>
        <w:pStyle w:val="Normal"/>
        <w:rPr/>
      </w:pPr>
      <w:r>
        <w:rPr/>
        <w:tab/>
        <w:t>TELEPHONE:  713-853-6222</w:t>
      </w:r>
    </w:p>
    <w:p>
      <w:pPr>
        <w:pStyle w:val="Normal"/>
        <w:rPr/>
      </w:pPr>
      <w:r>
        <w:rPr/>
        <w:tab/>
        <w:t>FAX:  713-646-2391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FROM:</w:t>
        <w:tab/>
        <w:t>RICKY ARCHER</w:t>
      </w:r>
    </w:p>
    <w:p>
      <w:pPr>
        <w:pStyle w:val="Normal"/>
        <w:rPr/>
      </w:pPr>
      <w:r>
        <w:rPr/>
        <w:tab/>
        <w:t>RICKYA@CALPINE.COM</w:t>
      </w:r>
    </w:p>
    <w:p>
      <w:pPr>
        <w:pStyle w:val="Normal"/>
        <w:rPr/>
      </w:pPr>
      <w:r>
        <w:rPr/>
        <w:tab/>
        <w:t>TELEPHONE:  713-830-8659</w:t>
      </w:r>
    </w:p>
    <w:p>
      <w:pPr>
        <w:pStyle w:val="Normal"/>
        <w:rPr/>
      </w:pPr>
      <w:r>
        <w:rPr/>
        <w:tab/>
        <w:t>FAX: 713-830-8722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82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238"/>
        <w:gridCol w:w="2970"/>
      </w:tblGrid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NOMINATION FOR THE MONTH OF:</w:t>
            </w:r>
          </w:p>
        </w:tc>
        <w:tc>
          <w:tcPr>
            <w:tcW w:w="2970" w:type="dxa"/>
            <w:tcBorders/>
          </w:tcPr>
          <w:p>
            <w:pPr>
              <w:pStyle w:val="Normal"/>
              <w:rPr/>
            </w:pPr>
            <w:r>
              <w:rPr/>
              <w:t>MARCH 2000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 xml:space="preserve">NOMINATION DUE:  </w:t>
            </w:r>
            <w:r>
              <w:rPr>
                <w:i/>
              </w:rPr>
              <w:t>(4 days b/f month)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DAILY BASE VOLUME NOMINATION (“BV”):</w:t>
            </w:r>
          </w:p>
        </w:tc>
        <w:tc>
          <w:tcPr>
            <w:tcW w:w="2970" w:type="dxa"/>
            <w:tcBorders/>
          </w:tcPr>
          <w:p>
            <w:pPr>
              <w:pStyle w:val="Normal"/>
              <w:jc w:val="center"/>
              <w:rPr>
                <w:i/>
                <w:i/>
              </w:rPr>
            </w:pPr>
            <w:r>
              <w:rPr>
                <w:i/>
              </w:rPr>
              <w:t>(MMBtu/day)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jc w:val="end"/>
              <w:rPr>
                <w:i/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jc w:val="end"/>
              <w:rPr/>
            </w:pPr>
            <w:r>
              <w:rPr/>
              <w:t>1</w:t>
            </w:r>
            <w:r>
              <w:rPr>
                <w:vertAlign w:val="superscript"/>
              </w:rPr>
              <w:t>st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70000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2</w:t>
            </w:r>
            <w:r>
              <w:rPr>
                <w:vertAlign w:val="superscript"/>
              </w:rPr>
              <w:t>nd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70000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3</w:t>
            </w:r>
            <w:r>
              <w:rPr>
                <w:vertAlign w:val="superscript"/>
              </w:rPr>
              <w:t>rd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70000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4</w:t>
            </w:r>
            <w:r>
              <w:rPr>
                <w:vertAlign w:val="superscript"/>
              </w:rPr>
              <w:t>th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70000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5</w:t>
            </w:r>
            <w:r>
              <w:rPr>
                <w:vertAlign w:val="superscript"/>
              </w:rPr>
              <w:t>th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70000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6</w:t>
            </w:r>
            <w:r>
              <w:rPr>
                <w:vertAlign w:val="superscript"/>
              </w:rPr>
              <w:t>th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70000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7</w:t>
            </w:r>
            <w:r>
              <w:rPr>
                <w:vertAlign w:val="superscript"/>
              </w:rPr>
              <w:t>th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70000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8</w:t>
            </w:r>
            <w:r>
              <w:rPr>
                <w:vertAlign w:val="superscript"/>
              </w:rPr>
              <w:t>th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70000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9</w:t>
            </w:r>
            <w:r>
              <w:rPr>
                <w:vertAlign w:val="superscript"/>
              </w:rPr>
              <w:t>th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70000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10</w:t>
            </w:r>
            <w:r>
              <w:rPr>
                <w:vertAlign w:val="superscript"/>
              </w:rPr>
              <w:t>th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70000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11</w:t>
            </w:r>
            <w:r>
              <w:rPr>
                <w:vertAlign w:val="superscript"/>
              </w:rPr>
              <w:t>th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70000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12</w:t>
            </w:r>
            <w:r>
              <w:rPr>
                <w:vertAlign w:val="superscript"/>
              </w:rPr>
              <w:t>th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70000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13</w:t>
            </w:r>
            <w:r>
              <w:rPr>
                <w:vertAlign w:val="superscript"/>
              </w:rPr>
              <w:t>th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70000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14</w:t>
            </w:r>
            <w:r>
              <w:rPr>
                <w:vertAlign w:val="superscript"/>
              </w:rPr>
              <w:t>th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70000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15</w:t>
            </w:r>
            <w:r>
              <w:rPr>
                <w:vertAlign w:val="superscript"/>
              </w:rPr>
              <w:t>th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70000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16</w:t>
            </w:r>
            <w:r>
              <w:rPr>
                <w:vertAlign w:val="superscript"/>
              </w:rPr>
              <w:t>th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70000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17</w:t>
            </w:r>
            <w:r>
              <w:rPr>
                <w:vertAlign w:val="superscript"/>
              </w:rPr>
              <w:t>th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70000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18</w:t>
            </w:r>
            <w:r>
              <w:rPr>
                <w:vertAlign w:val="superscript"/>
              </w:rPr>
              <w:t>th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70000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19</w:t>
            </w:r>
            <w:r>
              <w:rPr>
                <w:vertAlign w:val="superscript"/>
              </w:rPr>
              <w:t>th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70000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20</w:t>
            </w:r>
            <w:r>
              <w:rPr>
                <w:vertAlign w:val="superscript"/>
              </w:rPr>
              <w:t>th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70000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21</w:t>
            </w:r>
            <w:r>
              <w:rPr>
                <w:vertAlign w:val="superscript"/>
              </w:rPr>
              <w:t>st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70000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22</w:t>
            </w:r>
            <w:r>
              <w:rPr>
                <w:vertAlign w:val="superscript"/>
              </w:rPr>
              <w:t>nd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70000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23</w:t>
            </w:r>
            <w:r>
              <w:rPr>
                <w:vertAlign w:val="superscript"/>
              </w:rPr>
              <w:t>rd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70000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24</w:t>
            </w:r>
            <w:r>
              <w:rPr>
                <w:vertAlign w:val="superscript"/>
              </w:rPr>
              <w:t>th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70000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25</w:t>
            </w:r>
            <w:r>
              <w:rPr>
                <w:vertAlign w:val="superscript"/>
              </w:rPr>
              <w:t>th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70000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26</w:t>
            </w:r>
            <w:r>
              <w:rPr>
                <w:vertAlign w:val="superscript"/>
              </w:rPr>
              <w:t>th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70000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27</w:t>
            </w:r>
            <w:r>
              <w:rPr>
                <w:vertAlign w:val="superscript"/>
              </w:rPr>
              <w:t>th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70000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28</w:t>
            </w:r>
            <w:r>
              <w:rPr>
                <w:vertAlign w:val="superscript"/>
              </w:rPr>
              <w:t>th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70000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29</w:t>
            </w:r>
            <w:r>
              <w:rPr>
                <w:vertAlign w:val="superscript"/>
              </w:rPr>
              <w:t>th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70000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30th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70000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31st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70000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 AVERAGE DAILY QUANTITY (“ADQ”):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70000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INCREMENTAL VOLUMES (“IV”):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 xml:space="preserve">          </w:t>
            </w:r>
            <w:r>
              <w:rPr/>
              <w:t>(up to 18,000 MMBtu/day for every day of the month)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315" w:hRule="atLeast"/>
        </w:trPr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>
                <w:b/>
                <w:bCs/>
              </w:rPr>
              <w:t>Calpine Texas City will be under a Force Majeure situation until estimated day of March 5</w:t>
            </w:r>
            <w:r>
              <w:rPr>
                <w:b/>
                <w:bCs/>
                <w:vertAlign w:val="superscript"/>
              </w:rPr>
              <w:t>th</w:t>
            </w:r>
            <w:r>
              <w:rPr>
                <w:b/>
                <w:bCs/>
              </w:rPr>
              <w:t>.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Heading">
    <w:name w:val="Heading"/>
    <w:basedOn w:val="Normal"/>
    <w:next w:val="BodyText"/>
    <w:qFormat/>
    <w:pPr>
      <w:jc w:val="center"/>
    </w:pPr>
    <w:rPr>
      <w:b/>
      <w:sz w:val="32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1999-09-29T19:32:00Z</dcterms:created>
  <dc:creator>Jennifer A. Sabine</dc:creator>
  <dc:description/>
  <dc:language>en-CA</dc:language>
  <cp:lastModifiedBy>CRO</cp:lastModifiedBy>
  <cp:lastPrinted>1999-09-27T08:58:00Z</cp:lastPrinted>
  <dcterms:modified xsi:type="dcterms:W3CDTF">2000-02-24T11:12:00Z</dcterms:modified>
  <cp:revision>13</cp:revision>
  <dc:subject/>
  <dc:title>CALPINE MONTHLY GAS NOMINATION</dc:title>
</cp:coreProperties>
</file>