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Calpine Energy Services, L.P., a Delaware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Calpine Corporation shall have defaulted on its indebted</w:t>
        <w:softHyphen/>
        <w:t xml:space="preserve">ness to third parties, resulting in an acceleration of obligations of Calpine Corporation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Standard &amp; Poors</w:t>
        <w:tab/>
        <w:t xml:space="preserve">          Customer's</w:t>
        <w:tab/>
        <w:tab/>
        <w:t>Company's</w:t>
      </w:r>
    </w:p>
    <w:p>
      <w:pPr>
        <w:pStyle w:val="Normal"/>
        <w:jc w:val="both"/>
        <w:rPr>
          <w:rFonts w:ascii="Arial Narrow" w:hAnsi="Arial Narrow" w:cs="Arial Narrow"/>
          <w:sz w:val="18"/>
          <w:u w:val="single"/>
        </w:rPr>
      </w:pPr>
      <w:r>
        <w:rPr>
          <w:rFonts w:cs="Arial Narrow" w:ascii="Arial Narrow" w:hAnsi="Arial Narrow"/>
          <w:sz w:val="18"/>
          <w:u w:val="single"/>
        </w:rPr>
        <w:t>Credit Rating of at Least      Collateral  Threshold</w:t>
        <w:tab/>
        <w:t>Collateral Threshold</w:t>
      </w:r>
    </w:p>
    <w:p>
      <w:pPr>
        <w:pStyle w:val="Normal"/>
        <w:jc w:val="both"/>
        <w:rPr>
          <w:rFonts w:ascii="Arial Narrow" w:hAnsi="Arial Narrow" w:cs="Arial Narrow"/>
          <w:sz w:val="18"/>
        </w:rPr>
      </w:pPr>
      <w:r>
        <w:rPr>
          <w:rFonts w:cs="Arial Narrow" w:ascii="Arial Narrow" w:hAnsi="Arial Narrow"/>
          <w:sz w:val="18"/>
        </w:rPr>
        <w:t>A-</w:t>
        <w:tab/>
        <w:tab/>
        <w:tab/>
        <w:tab/>
        <w:tab/>
        <w:t>$25,000,000</w:t>
      </w:r>
    </w:p>
    <w:p>
      <w:pPr>
        <w:pStyle w:val="Normal"/>
        <w:jc w:val="both"/>
        <w:rPr>
          <w:rFonts w:ascii="Arial Narrow" w:hAnsi="Arial Narrow" w:cs="Arial Narrow"/>
          <w:sz w:val="18"/>
        </w:rPr>
      </w:pPr>
      <w:r>
        <w:rPr>
          <w:rFonts w:cs="Arial Narrow" w:ascii="Arial Narrow" w:hAnsi="Arial Narrow"/>
          <w:sz w:val="18"/>
        </w:rPr>
        <w:t>BBB+</w:t>
        <w:tab/>
        <w:tab/>
        <w:t xml:space="preserve">          $15,000,000                      $20,000,000</w:t>
      </w:r>
    </w:p>
    <w:p>
      <w:pPr>
        <w:pStyle w:val="Normal"/>
        <w:jc w:val="both"/>
        <w:rPr>
          <w:rFonts w:ascii="Arial Narrow" w:hAnsi="Arial Narrow" w:cs="Arial Narrow"/>
          <w:sz w:val="18"/>
        </w:rPr>
      </w:pPr>
      <w:r>
        <w:rPr>
          <w:rFonts w:cs="Arial Narrow" w:ascii="Arial Narrow" w:hAnsi="Arial Narrow"/>
          <w:sz w:val="18"/>
        </w:rPr>
        <w:t>BBB-</w:t>
        <w:tab/>
        <w:tab/>
        <w:t xml:space="preserve">          $15,000,000</w:t>
        <w:tab/>
        <w:tab/>
        <w:t>$15,000,000</w:t>
        <w:tab/>
      </w:r>
    </w:p>
    <w:p>
      <w:pPr>
        <w:pStyle w:val="Normal"/>
        <w:jc w:val="both"/>
        <w:rPr>
          <w:rFonts w:ascii="Arial Narrow" w:hAnsi="Arial Narrow" w:cs="Arial Narrow"/>
          <w:sz w:val="18"/>
        </w:rPr>
      </w:pPr>
      <w:r>
        <w:rPr>
          <w:rFonts w:cs="Arial Narrow" w:ascii="Arial Narrow" w:hAnsi="Arial Narrow"/>
          <w:sz w:val="18"/>
        </w:rPr>
        <w:t>BB+</w:t>
        <w:tab/>
        <w:tab/>
        <w:t xml:space="preserve">          $ 10,000,000</w:t>
        <w:tab/>
        <w:t xml:space="preserve">                 $10,000,000</w:t>
      </w:r>
    </w:p>
    <w:p>
      <w:pPr>
        <w:pStyle w:val="Normal"/>
        <w:jc w:val="both"/>
        <w:rPr>
          <w:rFonts w:ascii="Arial Narrow" w:hAnsi="Arial Narrow" w:cs="Arial Narrow"/>
          <w:sz w:val="18"/>
        </w:rPr>
      </w:pPr>
      <w:r>
        <w:rPr>
          <w:rFonts w:cs="Arial Narrow" w:ascii="Arial Narrow" w:hAnsi="Arial Narrow"/>
          <w:sz w:val="18"/>
        </w:rPr>
        <w:t>BB</w:t>
        <w:tab/>
        <w:tab/>
        <w:t xml:space="preserve">          $   5,000,000                     $  5,000,000</w:t>
      </w:r>
    </w:p>
    <w:p>
      <w:pPr>
        <w:pStyle w:val="Normal"/>
        <w:jc w:val="both"/>
        <w:rPr>
          <w:rFonts w:ascii="Arial Narrow" w:hAnsi="Arial Narrow" w:cs="Arial Narrow"/>
          <w:sz w:val="18"/>
        </w:rPr>
      </w:pPr>
      <w:r>
        <w:rPr>
          <w:rFonts w:cs="Arial Narrow" w:ascii="Arial Narrow" w:hAnsi="Arial Narrow"/>
          <w:sz w:val="18"/>
        </w:rPr>
        <w:t>BB-or below</w:t>
        <w:tab/>
        <w:t xml:space="preserve">          $   0.00</w:t>
        <w:tab/>
        <w:t xml:space="preserve">                 $  0.0</w:t>
      </w:r>
    </w:p>
    <w:p>
      <w:pPr>
        <w:pStyle w:val="Normal"/>
        <w:jc w:val="both"/>
        <w:rPr>
          <w:rFonts w:ascii="Arial Narrow" w:hAnsi="Arial Narrow" w:cs="Arial Narrow"/>
          <w:sz w:val="18"/>
        </w:rPr>
      </w:pPr>
      <w:r>
        <w:rPr>
          <w:rFonts w:cs="Arial Narrow" w:ascii="Arial Narrow" w:hAnsi="Arial Narrow"/>
          <w:sz w:val="18"/>
        </w:rPr>
        <w:tab/>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CALPINE ENERGY SERVICES, L.P.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By: CALPINE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/mnt/main-storage/datasets/enron-docs/doc/CALPINE_CORPORATION.doc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Calpine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Calpine  Energy Services, L.P.</w:t>
      </w:r>
    </w:p>
    <w:p>
      <w:pPr>
        <w:pStyle w:val="Normal"/>
        <w:jc w:val="both"/>
        <w:rPr>
          <w:rFonts w:ascii="Arial Narrow" w:hAnsi="Arial Narrow" w:cs="Arial Narrow"/>
          <w:sz w:val="18"/>
        </w:rPr>
      </w:pPr>
      <w:r>
        <w:rPr>
          <w:rFonts w:cs="Arial Narrow" w:ascii="Arial Narrow" w:hAnsi="Arial Narrow"/>
          <w:sz w:val="18"/>
        </w:rPr>
        <w:t>50 West Fernando Street</w:t>
      </w:r>
    </w:p>
    <w:p>
      <w:pPr>
        <w:pStyle w:val="Normal"/>
        <w:jc w:val="both"/>
        <w:rPr>
          <w:rFonts w:ascii="Arial Narrow" w:hAnsi="Arial Narrow" w:cs="Arial Narrow"/>
          <w:sz w:val="18"/>
        </w:rPr>
      </w:pPr>
      <w:r>
        <w:rPr>
          <w:rFonts w:cs="Arial Narrow" w:ascii="Arial Narrow" w:hAnsi="Arial Narrow"/>
          <w:sz w:val="18"/>
        </w:rPr>
        <w:t>San  Jose, California 95113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Calpine Energy Services, L.P., a Delaware limited partnership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CALPINE ENERGY SERVICES, L.P.</w:t>
      </w:r>
    </w:p>
    <w:p>
      <w:pPr>
        <w:pStyle w:val="Normal"/>
        <w:jc w:val="both"/>
        <w:rPr>
          <w:rFonts w:ascii="Arial Narrow" w:hAnsi="Arial Narrow" w:cs="Arial Narrow"/>
          <w:sz w:val="18"/>
        </w:rPr>
      </w:pPr>
      <w:r>
        <w:rPr>
          <w:rFonts w:cs="Arial Narrow" w:ascii="Arial Narrow" w:hAnsi="Arial Narrow"/>
          <w:sz w:val="18"/>
        </w:rPr>
        <w:tab/>
        <w:tab/>
        <w:tab/>
        <w:tab/>
        <w:tab/>
        <w:tab/>
        <w:t>By: CALPINE CORPORATION</w:t>
      </w:r>
    </w:p>
    <w:p>
      <w:pPr>
        <w:pStyle w:val="Normal"/>
        <w:jc w:val="both"/>
        <w:rPr>
          <w:rFonts w:ascii="Arial Narrow" w:hAnsi="Arial Narrow" w:cs="Arial Narrow"/>
          <w:sz w:val="18"/>
        </w:rPr>
      </w:pPr>
      <w:r>
        <w:rPr>
          <w:rFonts w:cs="Arial Narrow" w:ascii="Arial Narrow" w:hAnsi="Arial Narrow"/>
          <w:sz w:val="18"/>
        </w:rPr>
        <w:tab/>
        <w:tab/>
        <w:tab/>
        <w:tab/>
        <w:tab/>
        <w:tab/>
        <w:t>its General Partner</w:t>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2000, is made and entered into between Calpine Corporation,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Calpine Energy Services, L.P.,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CALPLINE  CORPORATION     </w:t>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rPr>
      </w:pPr>
      <w:r>
        <w:rPr>
          <w:rFonts w:cs="Arial Narrow" w:ascii="Arial Narrow" w:hAnsi="Arial Narrow"/>
          <w:sz w:val="18"/>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2000-12-21T14:27:00Z</dcterms:created>
  <dc:creator>dperlin</dc:creator>
  <dc:description/>
  <dc:language>en-CA</dc:language>
  <cp:lastModifiedBy>dperlin</cp:lastModifiedBy>
  <cp:lastPrinted>2000-12-22T14:20:00Z</cp:lastPrinted>
  <dcterms:modified xsi:type="dcterms:W3CDTF">2000-12-22T18:11:00Z</dcterms:modified>
  <cp:revision>6</cp:revision>
  <dc:subject/>
  <dc:title>ENFOLIO® MASTER FIRM PURCHASE/SALE AGREEMENT</dc:title>
</cp:coreProperties>
</file>