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Calpine Energy Services, L.P., a Delaware limited partnership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December,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Affected Party fails to establish, maintain, extend or increase a Letter of Credit or other collateral as is reasonably acceptable to the Party when required pursuant to this Agreement, or after reasonable notice fails to replace the issuing bank with another bank acceptable to the beneficiary or (viii) with respect to Company, at any time, Enron Corp. shall have defaulted on its indebtedness to third parties resulting in an acceleration of obligations of Enron Corp. in excess of $100,000,000, or with respect to Customer, at any time, Calpine Corporation shall have defaulted on its indebted</w:t>
        <w:softHyphen/>
        <w:t xml:space="preserve">ness to third parties, resulting in an acceleration of obligations of Calpine Corporation in excess of $50,000,000, or (ix)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the Collateral Threshold specified below opposite the Credit Rating for the party, then such party as beneficiary party may request the other party to establish a Letter of Credit in an amount equal to the Termination Payment in excess of the Collateral Threshold (rounding upwards for </w:t>
      </w:r>
      <w:r>
        <w:rPr>
          <w:rFonts w:cs="Arial Narrow" w:ascii="Arial Narrow" w:hAnsi="Arial Narrow"/>
          <w:sz w:val="18"/>
          <w:u w:val="single"/>
        </w:rPr>
        <w:t>any</w:t>
      </w:r>
      <w:r>
        <w:rPr>
          <w:rFonts w:cs="Arial Narrow" w:ascii="Arial Narrow" w:hAnsi="Arial Narrow"/>
          <w:sz w:val="18"/>
        </w:rPr>
        <w:t xml:space="preserve"> fractional amount to the next $100,000),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$100,000).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$100,000). For purposes of this Section 4.5,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 xml:space="preserve">Higher of </w:t>
      </w:r>
    </w:p>
    <w:p>
      <w:pPr>
        <w:pStyle w:val="Normal"/>
        <w:jc w:val="both"/>
        <w:rPr>
          <w:rFonts w:ascii="Arial Narrow" w:hAnsi="Arial Narrow" w:cs="Arial Narrow"/>
          <w:sz w:val="18"/>
        </w:rPr>
      </w:pPr>
      <w:r>
        <w:rPr>
          <w:rFonts w:cs="Arial Narrow" w:ascii="Arial Narrow" w:hAnsi="Arial Narrow"/>
          <w:sz w:val="18"/>
        </w:rPr>
        <w:t>Standard &amp; Poors</w:t>
      </w:r>
    </w:p>
    <w:p>
      <w:pPr>
        <w:pStyle w:val="Normal"/>
        <w:jc w:val="both"/>
        <w:rPr>
          <w:rFonts w:ascii="Arial Narrow" w:hAnsi="Arial Narrow" w:cs="Arial Narrow"/>
          <w:sz w:val="18"/>
        </w:rPr>
      </w:pPr>
      <w:r>
        <w:rPr>
          <w:rFonts w:cs="Arial Narrow" w:ascii="Arial Narrow" w:hAnsi="Arial Narrow"/>
          <w:sz w:val="18"/>
        </w:rPr>
        <w:t>or Moody’s Investor Services          Customer's</w:t>
        <w:tab/>
        <w:t>Company's</w:t>
      </w:r>
    </w:p>
    <w:p>
      <w:pPr>
        <w:pStyle w:val="Normal"/>
        <w:jc w:val="both"/>
        <w:rPr>
          <w:rFonts w:ascii="Arial Narrow" w:hAnsi="Arial Narrow" w:cs="Arial Narrow"/>
          <w:sz w:val="18"/>
          <w:u w:val="single"/>
        </w:rPr>
      </w:pPr>
      <w:r>
        <w:rPr>
          <w:rFonts w:cs="Arial Narrow" w:ascii="Arial Narrow" w:hAnsi="Arial Narrow"/>
          <w:sz w:val="18"/>
          <w:u w:val="single"/>
        </w:rPr>
        <w:t xml:space="preserve">Credit Rating </w:t>
        <w:tab/>
        <w:tab/>
        <w:t>Collateral  Threshold</w:t>
        <w:tab/>
        <w:t>Collateral Threshold</w:t>
      </w:r>
    </w:p>
    <w:p>
      <w:pPr>
        <w:pStyle w:val="Normal"/>
        <w:jc w:val="both"/>
        <w:rPr>
          <w:rFonts w:ascii="Arial Narrow" w:hAnsi="Arial Narrow" w:cs="Arial Narrow"/>
          <w:sz w:val="18"/>
        </w:rPr>
      </w:pPr>
      <w:r>
        <w:rPr>
          <w:rFonts w:cs="Arial Narrow" w:ascii="Arial Narrow" w:hAnsi="Arial Narrow"/>
          <w:sz w:val="18"/>
        </w:rPr>
        <w:t>A-/A3</w:t>
        <w:tab/>
        <w:tab/>
        <w:tab/>
        <w:t>$25,000,000</w:t>
        <w:tab/>
        <w:t>$25,000,000</w:t>
      </w:r>
    </w:p>
    <w:p>
      <w:pPr>
        <w:pStyle w:val="Normal"/>
        <w:jc w:val="both"/>
        <w:rPr>
          <w:rFonts w:ascii="Arial Narrow" w:hAnsi="Arial Narrow" w:cs="Arial Narrow"/>
          <w:sz w:val="18"/>
        </w:rPr>
      </w:pPr>
      <w:r>
        <w:rPr>
          <w:rFonts w:cs="Arial Narrow" w:ascii="Arial Narrow" w:hAnsi="Arial Narrow"/>
          <w:sz w:val="18"/>
        </w:rPr>
        <w:t>BBB+/Baa1</w:t>
        <w:tab/>
        <w:t xml:space="preserve">          </w:t>
        <w:tab/>
        <w:t>$20,000,000                $20,000,000</w:t>
      </w:r>
    </w:p>
    <w:p>
      <w:pPr>
        <w:pStyle w:val="Normal"/>
        <w:jc w:val="both"/>
        <w:rPr>
          <w:rFonts w:ascii="Arial Narrow" w:hAnsi="Arial Narrow" w:cs="Arial Narrow"/>
          <w:sz w:val="18"/>
        </w:rPr>
      </w:pPr>
      <w:r>
        <w:rPr>
          <w:rFonts w:cs="Arial Narrow" w:ascii="Arial Narrow" w:hAnsi="Arial Narrow"/>
          <w:sz w:val="18"/>
        </w:rPr>
        <w:t>BBB-/Baa3</w:t>
        <w:tab/>
        <w:tab/>
        <w:t xml:space="preserve"> $15,000,000</w:t>
        <w:tab/>
        <w:t>$15,000,000</w:t>
        <w:tab/>
      </w:r>
    </w:p>
    <w:p>
      <w:pPr>
        <w:pStyle w:val="Normal"/>
        <w:jc w:val="both"/>
        <w:rPr>
          <w:rFonts w:ascii="Arial Narrow" w:hAnsi="Arial Narrow" w:cs="Arial Narrow"/>
          <w:sz w:val="18"/>
        </w:rPr>
      </w:pPr>
      <w:r>
        <w:rPr>
          <w:rFonts w:cs="Arial Narrow" w:ascii="Arial Narrow" w:hAnsi="Arial Narrow"/>
          <w:sz w:val="18"/>
        </w:rPr>
        <w:t>BB+/Ba1</w:t>
        <w:tab/>
        <w:tab/>
        <w:t xml:space="preserve">          </w:t>
        <w:tab/>
        <w:t>$ 10,000,000</w:t>
        <w:tab/>
        <w:t>$10,000,000</w:t>
      </w:r>
    </w:p>
    <w:p>
      <w:pPr>
        <w:pStyle w:val="Normal"/>
        <w:jc w:val="both"/>
        <w:rPr>
          <w:rFonts w:ascii="Arial Narrow" w:hAnsi="Arial Narrow" w:cs="Arial Narrow"/>
          <w:sz w:val="18"/>
        </w:rPr>
      </w:pPr>
      <w:r>
        <w:rPr>
          <w:rFonts w:cs="Arial Narrow" w:ascii="Arial Narrow" w:hAnsi="Arial Narrow"/>
          <w:sz w:val="18"/>
        </w:rPr>
        <w:t>BB/Ba2</w:t>
        <w:tab/>
        <w:tab/>
        <w:t xml:space="preserve">          </w:t>
        <w:tab/>
        <w:t>$   5,000,000               $  5,000,000</w:t>
      </w:r>
    </w:p>
    <w:p>
      <w:pPr>
        <w:pStyle w:val="Normal"/>
        <w:jc w:val="both"/>
        <w:rPr>
          <w:rFonts w:ascii="Arial Narrow" w:hAnsi="Arial Narrow" w:cs="Arial Narrow"/>
          <w:sz w:val="18"/>
        </w:rPr>
      </w:pPr>
      <w:r>
        <w:rPr>
          <w:rFonts w:cs="Arial Narrow" w:ascii="Arial Narrow" w:hAnsi="Arial Narrow"/>
          <w:sz w:val="18"/>
        </w:rPr>
        <w:t>BB-/Ba3 or below</w:t>
        <w:tab/>
        <w:tab/>
        <w:t xml:space="preserve">         $   0.00               $  0.0</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ab/>
        <w:tab/>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CALPINE ENERGY SERVICES, L.P.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By: CALPINE ENERGY SERVICES GP, INC.</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its General Partner</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/mnt/main-storage/datasets/enron-docs/doc/CALPINE_CORPORATION-299eb07451c193b53326305b90dc9bc2767bc10d6892be6793fea72df6976f2c.doc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Calpine Corporation.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Calpine  Energy Services, L.P.</w:t>
      </w:r>
    </w:p>
    <w:p>
      <w:pPr>
        <w:pStyle w:val="Normal"/>
        <w:jc w:val="both"/>
        <w:rPr>
          <w:rFonts w:ascii="Arial Narrow" w:hAnsi="Arial Narrow" w:cs="Arial Narrow"/>
          <w:sz w:val="18"/>
        </w:rPr>
      </w:pPr>
      <w:r>
        <w:rPr>
          <w:rFonts w:cs="Arial Narrow" w:ascii="Arial Narrow" w:hAnsi="Arial Narrow"/>
          <w:sz w:val="18"/>
        </w:rPr>
        <w:t>700 Louisiana, Ste. 2700</w:t>
      </w:r>
    </w:p>
    <w:p>
      <w:pPr>
        <w:pStyle w:val="Normal"/>
        <w:jc w:val="both"/>
        <w:rPr>
          <w:rFonts w:ascii="Arial Narrow" w:hAnsi="Arial Narrow" w:cs="Arial Narrow"/>
          <w:sz w:val="18"/>
        </w:rPr>
      </w:pPr>
      <w:r>
        <w:rPr>
          <w:rFonts w:cs="Arial Narrow" w:ascii="Arial Narrow" w:hAnsi="Arial Narrow"/>
          <w:sz w:val="18"/>
        </w:rPr>
        <w:t>Houston, TX  77002</w:t>
      </w:r>
    </w:p>
    <w:p>
      <w:pPr>
        <w:pStyle w:val="Normal"/>
        <w:jc w:val="both"/>
        <w:rPr>
          <w:rFonts w:ascii="Arial Narrow" w:hAnsi="Arial Narrow" w:cs="Arial Narrow"/>
          <w:sz w:val="18"/>
        </w:rPr>
      </w:pPr>
      <w:r>
        <w:rPr>
          <w:rFonts w:cs="Arial Narrow" w:ascii="Arial Narrow" w:hAnsi="Arial Narrow"/>
          <w:sz w:val="18"/>
        </w:rPr>
        <w:t>Attn:  Contract Administration</w:t>
      </w:r>
    </w:p>
    <w:p>
      <w:pPr>
        <w:pStyle w:val="Normal"/>
        <w:jc w:val="both"/>
        <w:rPr>
          <w:rFonts w:ascii="Arial Narrow" w:hAnsi="Arial Narrow" w:cs="Arial Narrow"/>
          <w:sz w:val="18"/>
        </w:rPr>
      </w:pPr>
      <w:r>
        <w:rPr>
          <w:rFonts w:cs="Arial Narrow" w:ascii="Arial Narrow" w:hAnsi="Arial Narrow"/>
          <w:sz w:val="18"/>
        </w:rPr>
        <w:t>Fax: (713) 830-8751</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t>Calpine  Energy Services, L.P.</w:t>
      </w:r>
    </w:p>
    <w:p>
      <w:pPr>
        <w:pStyle w:val="Normal"/>
        <w:jc w:val="both"/>
        <w:rPr>
          <w:rFonts w:ascii="Arial Narrow" w:hAnsi="Arial Narrow" w:cs="Arial Narrow"/>
          <w:sz w:val="18"/>
        </w:rPr>
      </w:pPr>
      <w:r>
        <w:rPr>
          <w:rFonts w:cs="Arial Narrow" w:ascii="Arial Narrow" w:hAnsi="Arial Narrow"/>
          <w:sz w:val="18"/>
        </w:rPr>
        <w:t>700 Louisiana, Ste. 2700</w:t>
      </w:r>
    </w:p>
    <w:p>
      <w:pPr>
        <w:pStyle w:val="Normal"/>
        <w:jc w:val="both"/>
        <w:rPr>
          <w:rFonts w:ascii="Arial Narrow" w:hAnsi="Arial Narrow" w:cs="Arial Narrow"/>
          <w:sz w:val="18"/>
        </w:rPr>
      </w:pPr>
      <w:r>
        <w:rPr>
          <w:rFonts w:cs="Arial Narrow" w:ascii="Arial Narrow" w:hAnsi="Arial Narrow"/>
          <w:sz w:val="18"/>
        </w:rPr>
        <w:t>Houston, TX  77002</w:t>
      </w:r>
    </w:p>
    <w:p>
      <w:pPr>
        <w:pStyle w:val="Normal"/>
        <w:jc w:val="both"/>
        <w:rPr>
          <w:rFonts w:ascii="Arial Narrow" w:hAnsi="Arial Narrow" w:cs="Arial Narrow"/>
          <w:sz w:val="18"/>
        </w:rPr>
      </w:pPr>
      <w:r>
        <w:rPr>
          <w:rFonts w:cs="Arial Narrow" w:ascii="Arial Narrow" w:hAnsi="Arial Narrow"/>
          <w:sz w:val="18"/>
        </w:rPr>
        <w:t>Attn:  Fuels Accounting</w:t>
      </w:r>
    </w:p>
    <w:p>
      <w:pPr>
        <w:pStyle w:val="Normal"/>
        <w:jc w:val="both"/>
        <w:rPr>
          <w:rFonts w:ascii="Arial Narrow" w:hAnsi="Arial Narrow" w:cs="Arial Narrow"/>
          <w:sz w:val="18"/>
        </w:rPr>
      </w:pPr>
      <w:r>
        <w:rPr>
          <w:rFonts w:cs="Arial Narrow" w:ascii="Arial Narrow" w:hAnsi="Arial Narrow"/>
          <w:sz w:val="18"/>
        </w:rPr>
        <w:t>Fax: (713) 830-8740</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t>Union Bank of California</w:t>
      </w:r>
    </w:p>
    <w:p>
      <w:pPr>
        <w:pStyle w:val="Normal"/>
        <w:jc w:val="both"/>
        <w:rPr>
          <w:rFonts w:ascii="Arial Narrow" w:hAnsi="Arial Narrow" w:cs="Arial Narrow"/>
          <w:sz w:val="18"/>
        </w:rPr>
      </w:pPr>
      <w:r>
        <w:rPr>
          <w:rFonts w:cs="Arial Narrow" w:ascii="Arial Narrow" w:hAnsi="Arial Narrow"/>
          <w:sz w:val="18"/>
        </w:rPr>
        <w:t>Acct:  Calpine Energy Services, L.P.</w:t>
      </w:r>
    </w:p>
    <w:p>
      <w:pPr>
        <w:pStyle w:val="Normal"/>
        <w:jc w:val="both"/>
        <w:rPr>
          <w:rFonts w:ascii="Arial Narrow" w:hAnsi="Arial Narrow" w:cs="Arial Narrow"/>
          <w:sz w:val="18"/>
        </w:rPr>
      </w:pPr>
      <w:r>
        <w:rPr>
          <w:rFonts w:cs="Arial Narrow" w:ascii="Arial Narrow" w:hAnsi="Arial Narrow"/>
          <w:sz w:val="18"/>
        </w:rPr>
        <w:t>Account #: 187-003-1951</w:t>
      </w:r>
    </w:p>
    <w:p>
      <w:pPr>
        <w:pStyle w:val="Normal"/>
        <w:jc w:val="both"/>
        <w:rPr>
          <w:rFonts w:ascii="Arial Narrow" w:hAnsi="Arial Narrow" w:cs="Arial Narrow"/>
          <w:sz w:val="18"/>
        </w:rPr>
      </w:pPr>
      <w:r>
        <w:rPr>
          <w:rFonts w:cs="Arial Narrow" w:ascii="Arial Narrow" w:hAnsi="Arial Narrow"/>
          <w:sz w:val="18"/>
        </w:rPr>
        <w:t>ABA#: 122 000 496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 :  Aron Childers, Tel: 713-830-8811, Fax: 713-830-8749</w:t>
      </w:r>
    </w:p>
    <w:p>
      <w:pPr>
        <w:pStyle w:val="Normal"/>
        <w:jc w:val="both"/>
        <w:rPr>
          <w:rFonts w:ascii="Arial Narrow" w:hAnsi="Arial Narrow" w:cs="Arial Narrow"/>
          <w:sz w:val="18"/>
        </w:rPr>
      </w:pPr>
      <w:r>
        <w:rPr>
          <w:rFonts w:cs="Arial Narrow" w:ascii="Arial Narrow" w:hAnsi="Arial Narrow"/>
          <w:b/>
          <w:sz w:val="18"/>
        </w:rPr>
        <w:t>Confirmations:  Barbara Musser, Tel: 713-830-8723, Fax: 713-830-8749</w:t>
      </w:r>
    </w:p>
    <w:p>
      <w:pPr>
        <w:pStyle w:val="Normal"/>
        <w:jc w:val="both"/>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pPr>
      <w:r>
        <w:rPr/>
        <w:t xml:space="preserve"> </w:t>
      </w: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December 1, 2000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Calpine Energy Services, L.P., a Delaware limited partnership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$25,000,000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ENRON CORP.     </w:t>
        <w:tab/>
        <w:tab/>
        <w:tab/>
        <w:tab/>
        <w:tab/>
        <w:t>CALPINE ENERGY SERVICES, L.P.</w:t>
      </w:r>
    </w:p>
    <w:p>
      <w:pPr>
        <w:pStyle w:val="Normal"/>
        <w:jc w:val="both"/>
        <w:rPr>
          <w:rFonts w:ascii="Arial Narrow" w:hAnsi="Arial Narrow" w:cs="Arial Narrow"/>
          <w:sz w:val="18"/>
        </w:rPr>
      </w:pPr>
      <w:r>
        <w:rPr>
          <w:rFonts w:cs="Arial Narrow" w:ascii="Arial Narrow" w:hAnsi="Arial Narrow"/>
          <w:sz w:val="18"/>
        </w:rPr>
        <w:tab/>
        <w:tab/>
        <w:tab/>
        <w:tab/>
        <w:tab/>
        <w:tab/>
        <w:t>By: CALPINE ENERGY SERVICES GP, INC.</w:t>
      </w:r>
    </w:p>
    <w:p>
      <w:pPr>
        <w:pStyle w:val="Normal"/>
        <w:jc w:val="both"/>
        <w:rPr>
          <w:rFonts w:ascii="Arial Narrow" w:hAnsi="Arial Narrow" w:cs="Arial Narrow"/>
          <w:sz w:val="18"/>
        </w:rPr>
      </w:pPr>
      <w:r>
        <w:rPr>
          <w:rFonts w:cs="Arial Narrow" w:ascii="Arial Narrow" w:hAnsi="Arial Narrow"/>
          <w:sz w:val="18"/>
        </w:rPr>
        <w:tab/>
        <w:tab/>
        <w:tab/>
        <w:tab/>
        <w:tab/>
        <w:tab/>
        <w:t>its General Partner</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December 1, 2000, is made and entered into between Calpine Corporation, a Delaware corporation ("</w:t>
      </w:r>
      <w:r>
        <w:rPr>
          <w:rFonts w:cs="Arial Narrow" w:ascii="Arial Narrow" w:hAnsi="Arial Narrow"/>
          <w:sz w:val="18"/>
          <w:u w:val="single"/>
        </w:rPr>
        <w:t>Guarantor</w:t>
      </w:r>
      <w:r>
        <w:rPr>
          <w:rFonts w:cs="Arial Narrow" w:ascii="Arial Narrow" w:hAnsi="Arial Narrow"/>
          <w:sz w:val="18"/>
        </w:rPr>
        <w:t>"), and Enron North America Corp.,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Calpine Energy Services, L.P.,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$25,000,000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CALPLINE  CORPORATION     </w:t>
        <w:tab/>
        <w:tab/>
        <w:tab/>
        <w:tab/>
        <w:t>ENRON NORTH AMERICA CORP.</w:t>
      </w:r>
    </w:p>
    <w:p>
      <w:pPr>
        <w:pStyle w:val="Normal"/>
        <w:jc w:val="both"/>
        <w:rPr>
          <w:rFonts w:ascii="Arial Narrow" w:hAnsi="Arial Narrow" w:cs="Arial Narrow"/>
          <w:sz w:val="18"/>
        </w:rPr>
      </w:pPr>
      <w:r>
        <w:rPr>
          <w:rFonts w:cs="Arial Narrow" w:ascii="Arial Narrow" w:hAnsi="Arial Narrow"/>
          <w:sz w:val="18"/>
        </w:rPr>
        <w:t>By: CALPINE ENERGY SERVICES GP, INC.</w:t>
      </w:r>
    </w:p>
    <w:p>
      <w:pPr>
        <w:pStyle w:val="Normal"/>
        <w:jc w:val="both"/>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its General Partner</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pStyle w:val="Normal"/>
        <w:jc w:val="both"/>
        <w:rPr>
          <w:rFonts w:ascii="Arial Narrow" w:hAnsi="Arial Narrow" w:cs="Arial Narrow"/>
          <w:sz w:val="18"/>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sz w:val="18"/>
        </w:rPr>
      </w:pPr>
      <w:r>
        <w:rPr>
          <w:rFonts w:cs="Arial Narrow" w:ascii="Arial Narrow" w:hAnsi="Arial Narrow"/>
          <w:sz w:val="18"/>
        </w:rPr>
      </w:r>
    </w:p>
    <w:sectPr>
      <w:footerReference w:type="default" r:id="rId10"/>
      <w:footerReference w:type="first" r:id="rId11"/>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2000-12-21T14:27:00Z</dcterms:created>
  <dc:creator>dperlin</dc:creator>
  <dc:description/>
  <dc:language>en-CA</dc:language>
  <cp:lastModifiedBy>gnemec</cp:lastModifiedBy>
  <cp:lastPrinted>2000-12-28T18:11:00Z</cp:lastPrinted>
  <dcterms:modified xsi:type="dcterms:W3CDTF">2000-12-29T14:13:00Z</dcterms:modified>
  <cp:revision>10</cp:revision>
  <dc:subject/>
  <dc:title>ENFOLIO® MASTER FIRM PURCHASE/SALE AGREEMENT</dc:title>
</cp:coreProperties>
</file>