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t>CALIFORNIA ENERGY MARKETS Issue 592 Page 7</w:t>
      </w:r>
    </w:p>
    <w:p>
      <w:pPr>
        <w:pStyle w:val="PlainText"/>
        <w:rPr/>
      </w:pPr>
      <w:r>
        <w:rPr/>
      </w:r>
    </w:p>
    <w:p>
      <w:pPr>
        <w:pStyle w:val="PlainText"/>
        <w:rPr/>
      </w:pPr>
      <w:r>
        <w:rPr/>
        <w:t>[13] (11/10/2000) Calpine and Enron Drop Proposed Peakers (from [4])</w:t>
      </w:r>
    </w:p>
    <w:p>
      <w:pPr>
        <w:pStyle w:val="PlainText"/>
        <w:rPr/>
      </w:pPr>
      <w:r>
        <w:rPr/>
        <w:tab/>
        <w:t>A few days after the California Energy Commission found Calpine's fast-track license applications for five peaking units in the Bay Area data adequate, the company withdrew three of its applications (see CEM No. 591 [16]). Subsequently, Enron pulled about 600 MW worth of peaking units it submitted in response to the California Independent System Operator's request for bids for emergency power (see CEM No. 587 [17]).</w:t>
      </w:r>
    </w:p>
    <w:p>
      <w:pPr>
        <w:pStyle w:val="PlainText"/>
        <w:rPr/>
      </w:pPr>
      <w:r>
        <w:rPr/>
        <w:tab/>
        <w:t>Calpine notified the CEC late on November 6 that is was pulling its proposed peaking units at the San Mateo, Martin and Newark substations (each 91.2 MW) from the agency's peaking queues. Calpine also notified Cal-ISO as the five portable plants were also included in bids submitted to the system operator. Katherine Potter, Calpine's director of public relations, told CALIFORNIA ENERGY MARKETS that the tight timeframe led to "economic and technical uncertainties."</w:t>
      </w:r>
    </w:p>
    <w:p>
      <w:pPr>
        <w:pStyle w:val="PlainText"/>
        <w:rPr/>
      </w:pPr>
      <w:r>
        <w:rPr/>
        <w:tab/>
        <w:t>Calpine has not yet decided if it will yank its two remaining applications for express licenses for a stationary 88 MW unit at Scott Substation and an 86 MW peaker at Warnerville Substation, Potter said.</w:t>
      </w:r>
    </w:p>
    <w:p>
      <w:pPr>
        <w:pStyle w:val="PlainText"/>
        <w:rPr>
          <w:b/>
        </w:rPr>
      </w:pPr>
      <w:r>
        <w:rPr>
          <w:b/>
        </w:rPr>
        <w:tab/>
        <w:t>Enron, which had not submitted a license application to the CEC, will not proceed with most of its peak unit projects because of the $150/MWh price cap imposed by the Federal Energy Regulatory Commission last week, said company spokesperson Mark Palmer.</w:t>
      </w:r>
    </w:p>
    <w:p>
      <w:pPr>
        <w:pStyle w:val="PlainText"/>
        <w:rPr/>
      </w:pPr>
      <w:r>
        <w:rPr/>
        <w:tab/>
        <w:t>"The price-cap environment makes plants uneconomic," he said. "Price caps are not the way to go." He said that a $1,000 cap would be in the ballpark for making investments in generation viable. Enron left one project, a 48 MW peaker, in the dwindling stack of Cal-ISO bids.</w:t>
      </w:r>
    </w:p>
    <w:p>
      <w:pPr>
        <w:pStyle w:val="PlainText"/>
        <w:rPr/>
      </w:pPr>
      <w:r>
        <w:rPr/>
        <w:tab/>
        <w:t>Cal-ISO chief executive officer Terry Winter told federal regulators this week that the lack of investment in new generation stems primarily from "one overriding reason: uncertainty." He warned FERC that its proposed trend for soft price caps and increasing regulatory changes in the market might lead to "protracted uncertainty" [Elizabeth McCarthy].</w:t>
      </w:r>
    </w:p>
    <w:p>
      <w:pPr>
        <w:pStyle w:val="Normal"/>
        <w:rPr/>
      </w:pPr>
      <w:r>
        <w:rPr/>
      </w:r>
    </w:p>
    <w:p>
      <w:pPr>
        <w:pStyle w:val="Normal"/>
        <w:rPr>
          <w:b/>
          <w:i/>
          <w:i/>
        </w:rPr>
      </w:pPr>
      <w:r>
        <w:rPr>
          <w:b/>
          <w:i/>
        </w:rPr>
        <w:t>Copyright © 2000 Energy NewsData Corporation</w:t>
      </w:r>
    </w:p>
    <w:p>
      <w:pPr>
        <w:pStyle w:val="Normal"/>
        <w:rPr>
          <w:b/>
          <w:i/>
          <w:i/>
        </w:rPr>
      </w:pPr>
      <w:r>
        <w:rPr>
          <w:b/>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2001-09-04T18:13:00Z</dcterms:created>
  <dc:creator>Arthur  O'Donnell</dc:creator>
  <dc:description/>
  <dc:language>en-CA</dc:language>
  <cp:lastModifiedBy>Arthur  O'Donnell</cp:lastModifiedBy>
  <dcterms:modified xsi:type="dcterms:W3CDTF">2001-09-04T18:14:00Z</dcterms:modified>
  <cp:revision>2</cp:revision>
  <dc:subject/>
  <dc:title>CALIFORNIA ENERGY MARKETS Issue 592 Page 7</dc:title>
</cp:coreProperties>
</file>