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z w:val="24"/>
        </w:rPr>
      </w:pPr>
      <w:r>
        <w:rPr>
          <w:rFonts w:cs="Times New Roman" w:ascii="Times New Roman" w:hAnsi="Times New Roman"/>
          <w:sz w:val="24"/>
        </w:rPr>
      </w:r>
    </w:p>
    <w:p>
      <w:pPr>
        <w:pStyle w:val="Heading"/>
        <w:rPr>
          <w:rFonts w:ascii="Times New Roman" w:hAnsi="Times New Roman" w:cs="Times New Roman"/>
          <w:sz w:val="24"/>
        </w:rPr>
      </w:pPr>
      <w:r>
        <w:rPr>
          <w:rFonts w:cs="Times New Roman" w:ascii="Times New Roman" w:hAnsi="Times New Roman"/>
          <w:sz w:val="24"/>
        </w:rPr>
      </w:r>
    </w:p>
    <w:p>
      <w:pPr>
        <w:pStyle w:val="Heading"/>
        <w:rPr>
          <w:rFonts w:ascii="Times New Roman" w:hAnsi="Times New Roman" w:cs="Times New Roman"/>
          <w:sz w:val="24"/>
        </w:rPr>
      </w:pPr>
      <w:r>
        <w:rPr>
          <w:rFonts w:cs="Times New Roman" w:ascii="Times New Roman" w:hAnsi="Times New Roman"/>
          <w:sz w:val="24"/>
        </w:rPr>
      </w:r>
    </w:p>
    <w:p>
      <w:pPr>
        <w:pStyle w:val="Heading"/>
        <w:rPr>
          <w:rFonts w:ascii="Times New Roman" w:hAnsi="Times New Roman" w:cs="Times New Roman"/>
          <w:sz w:val="24"/>
        </w:rPr>
      </w:pPr>
      <w:r>
        <w:rPr>
          <w:rFonts w:cs="Times New Roman" w:ascii="Times New Roman" w:hAnsi="Times New Roman"/>
          <w:sz w:val="24"/>
        </w:rPr>
      </w:r>
    </w:p>
    <w:p>
      <w:pPr>
        <w:pStyle w:val="Heading"/>
        <w:rPr>
          <w:rFonts w:ascii="Times New Roman" w:hAnsi="Times New Roman" w:cs="Times New Roman"/>
          <w:sz w:val="24"/>
        </w:rPr>
      </w:pPr>
      <w:r>
        <w:rPr>
          <w:rFonts w:cs="Times New Roman" w:ascii="Times New Roman" w:hAnsi="Times New Roman"/>
          <w:sz w:val="24"/>
        </w:rPr>
        <w:t>Draft # 2  SEPTEMBER 15, 2000</w:t>
      </w:r>
    </w:p>
    <w:p>
      <w:pPr>
        <w:pStyle w:val="Normal"/>
        <w:spacing w:lineRule="atLeast" w:line="240"/>
        <w:jc w:val="center"/>
        <w:rPr>
          <w:b/>
          <w:color w:val="000000"/>
          <w:sz w:val="24"/>
        </w:rPr>
      </w:pPr>
      <w:r>
        <w:rPr>
          <w:b/>
          <w:color w:val="000000"/>
          <w:sz w:val="24"/>
        </w:rPr>
        <w:t>Reorganization/Divulging Sale of Assets Q and As (Internal)</w:t>
      </w:r>
    </w:p>
    <w:p>
      <w:pPr>
        <w:pStyle w:val="Normal"/>
        <w:spacing w:lineRule="atLeast" w:line="240"/>
        <w:jc w:val="center"/>
        <w:rPr>
          <w:b/>
          <w:color w:val="000000"/>
          <w:sz w:val="24"/>
        </w:rPr>
      </w:pPr>
      <w:r>
        <w:rPr>
          <w:b/>
          <w:color w:val="000000"/>
          <w:sz w:val="24"/>
        </w:rPr>
      </w:r>
    </w:p>
    <w:p>
      <w:pPr>
        <w:pStyle w:val="Heading1"/>
        <w:ind w:hanging="0" w:start="0"/>
        <w:rPr/>
      </w:pPr>
      <w:r>
        <w:rPr/>
        <w:t>Statement</w:t>
      </w:r>
    </w:p>
    <w:p>
      <w:pPr>
        <w:pStyle w:val="Normal"/>
        <w:spacing w:lineRule="atLeast" w:line="240"/>
        <w:rPr>
          <w:b/>
          <w:color w:val="000000"/>
          <w:sz w:val="24"/>
        </w:rPr>
      </w:pPr>
      <w:r>
        <w:rPr>
          <w:b/>
          <w:color w:val="000000"/>
          <w:sz w:val="24"/>
        </w:rPr>
      </w:r>
    </w:p>
    <w:p>
      <w:pPr>
        <w:pStyle w:val="Normal"/>
        <w:spacing w:lineRule="atLeast" w:line="240"/>
        <w:rPr>
          <w:color w:val="000000"/>
          <w:sz w:val="24"/>
        </w:rPr>
      </w:pPr>
      <w:r>
        <w:rPr>
          <w:color w:val="000000"/>
          <w:sz w:val="24"/>
        </w:rPr>
        <w:t>Enron is committed to the South American market.  There are significant opportunities for growth and we are very pleased with the team of people who are responsible for Enron’s success in having a competitive regional network in place.  Regarding recent press coverage in Brazil about company plans, as a matter of policy, we do not comment on market speculation or rumors.</w:t>
      </w:r>
    </w:p>
    <w:p>
      <w:pPr>
        <w:pStyle w:val="Normal"/>
        <w:spacing w:lineRule="atLeast" w:line="240"/>
        <w:rPr>
          <w:color w:val="000000"/>
          <w:sz w:val="24"/>
        </w:rPr>
      </w:pPr>
      <w:r>
        <w:rPr>
          <w:color w:val="000000"/>
          <w:sz w:val="24"/>
        </w:rPr>
      </w:r>
    </w:p>
    <w:p>
      <w:pPr>
        <w:pStyle w:val="BodyText"/>
        <w:rPr/>
      </w:pPr>
      <w:r>
        <w:rPr/>
        <w:t>What is the significance of the reorganization of the CALME group and transferring the management of the Colombia and Venezuela operations to ESA?</w:t>
      </w:r>
    </w:p>
    <w:p>
      <w:pPr>
        <w:pStyle w:val="BodyText"/>
        <w:rPr/>
      </w:pPr>
      <w:r>
        <w:rPr/>
      </w:r>
    </w:p>
    <w:p>
      <w:pPr>
        <w:pStyle w:val="Style19"/>
        <w:rPr>
          <w:rFonts w:ascii="Times New Roman" w:hAnsi="Times New Roman" w:cs="Times New Roman"/>
          <w:lang w:eastAsia="en-CA"/>
        </w:rPr>
      </w:pPr>
      <w:r>
        <w:rPr>
          <w:rFonts w:cs="Times New Roman" w:ascii="Times New Roman" w:hAnsi="Times New Roman"/>
          <w:lang w:eastAsia="en-CA"/>
        </w:rPr>
        <w:t xml:space="preserve">The decision to reorganize the CALME group reflects Enron’s continuing commitment to grow the company by maximizing both our financial and intellectual capital.  Anyone who has watched Enron grow from a domestic natural gas pipeline company into a global leader in energy services, natural gas and communications knows that our greatest strength is our ability to recognize new opportunities and then adapt and change our business to seize these opportunities. </w:t>
      </w:r>
    </w:p>
    <w:p>
      <w:pPr>
        <w:pStyle w:val="Style19"/>
        <w:rPr>
          <w:rFonts w:ascii="Times New Roman" w:hAnsi="Times New Roman" w:cs="Times New Roman"/>
          <w:lang w:eastAsia="en-CA"/>
        </w:rPr>
      </w:pPr>
      <w:r>
        <w:rPr>
          <w:rFonts w:cs="Times New Roman" w:ascii="Times New Roman" w:hAnsi="Times New Roman"/>
          <w:lang w:eastAsia="en-CA"/>
        </w:rPr>
      </w:r>
    </w:p>
    <w:p>
      <w:pPr>
        <w:pStyle w:val="Style19"/>
        <w:rPr>
          <w:rFonts w:ascii="Times New Roman" w:hAnsi="Times New Roman" w:cs="Times New Roman"/>
          <w:b/>
          <w:lang w:eastAsia="en-CA"/>
        </w:rPr>
      </w:pPr>
      <w:r>
        <w:rPr>
          <w:rFonts w:cs="Times New Roman" w:ascii="Times New Roman" w:hAnsi="Times New Roman"/>
          <w:lang w:eastAsia="en-CA"/>
        </w:rPr>
        <w:t xml:space="preserve">At ESA we have started to implement these new business paradigms and this restructuring creates new opportunities for our business unit.  We will absorb the existing business activities in Venezuela and Columbia and simultaneously implement an organizational strategy to more efficiently utilize the local and Houston based resources. We will absorb the existing business activities in Venezuela and Columbia and simultaneously implement an organizational strategy to reduce costs by consolidating a number of positions to more efficiently utilize our local and Houston-based resources.  This is a strategic reorganization that allows us to lower overhead expenses and free up capital for high growth businesses.  </w:t>
      </w:r>
    </w:p>
    <w:p>
      <w:pPr>
        <w:pStyle w:val="Normal"/>
        <w:spacing w:lineRule="atLeast" w:line="240"/>
        <w:rPr>
          <w:rFonts w:ascii="Times New Roman" w:hAnsi="Times New Roman" w:cs="Times New Roman"/>
          <w:b/>
          <w:color w:val="000000"/>
          <w:sz w:val="24"/>
          <w:lang w:eastAsia="en-CA"/>
        </w:rPr>
      </w:pPr>
      <w:r>
        <w:rPr>
          <w:rFonts w:cs="Times New Roman"/>
          <w:b/>
          <w:color w:val="000000"/>
          <w:sz w:val="24"/>
          <w:lang w:eastAsia="en-CA"/>
        </w:rPr>
      </w:r>
    </w:p>
    <w:p>
      <w:pPr>
        <w:pStyle w:val="Normal"/>
        <w:spacing w:lineRule="atLeast" w:line="240"/>
        <w:rPr>
          <w:b/>
          <w:color w:val="000000"/>
          <w:sz w:val="24"/>
        </w:rPr>
      </w:pPr>
      <w:r>
        <w:rPr>
          <w:b/>
          <w:color w:val="000000"/>
          <w:sz w:val="24"/>
        </w:rPr>
        <w:t>Is true that Enron is seeking buyers for Elektro and its gas pipeline holdings?</w:t>
      </w:r>
    </w:p>
    <w:p>
      <w:pPr>
        <w:pStyle w:val="Normal"/>
        <w:spacing w:lineRule="atLeast" w:line="240"/>
        <w:rPr>
          <w:color w:val="000000"/>
          <w:sz w:val="24"/>
        </w:rPr>
      </w:pPr>
      <w:r>
        <w:rPr>
          <w:color w:val="000000"/>
          <w:sz w:val="24"/>
        </w:rPr>
        <w:t xml:space="preserve"> </w:t>
      </w:r>
    </w:p>
    <w:p>
      <w:pPr>
        <w:pStyle w:val="Normal"/>
        <w:spacing w:lineRule="atLeast" w:line="240"/>
        <w:rPr/>
      </w:pPr>
      <w:r>
        <w:rPr>
          <w:sz w:val="24"/>
        </w:rPr>
        <w:t>We are evaluating the sale of some ESA assets, including Elektro and our shares in the gas distribution units, so that we can focus our attention on the development of a business model that is similar to the one we have in the U.S. and Europe.  This decision reflects both our confidence in the promise of Brazil and the South American markets and our commitment to continue to do business in the region—whether as an energy transporter, distributor and generator, or a provider of energy services..</w:t>
      </w:r>
      <w:r>
        <w:rPr>
          <w:color w:val="000000"/>
          <w:sz w:val="24"/>
        </w:rPr>
        <w:t xml:space="preserve"> </w:t>
      </w:r>
    </w:p>
    <w:p>
      <w:pPr>
        <w:pStyle w:val="Normal"/>
        <w:spacing w:lineRule="atLeast" w:line="240"/>
        <w:rPr>
          <w:color w:val="000000"/>
          <w:sz w:val="24"/>
        </w:rPr>
      </w:pPr>
      <w:r>
        <w:rPr>
          <w:color w:val="000000"/>
          <w:sz w:val="24"/>
        </w:rPr>
      </w:r>
    </w:p>
    <w:p>
      <w:pPr>
        <w:pStyle w:val="Normal"/>
        <w:spacing w:lineRule="atLeast" w:line="240"/>
        <w:rPr>
          <w:b/>
          <w:color w:val="000000"/>
          <w:sz w:val="24"/>
        </w:rPr>
      </w:pPr>
      <w:r>
        <w:rPr>
          <w:b/>
          <w:color w:val="000000"/>
          <w:sz w:val="24"/>
        </w:rPr>
      </w:r>
    </w:p>
    <w:p>
      <w:pPr>
        <w:pStyle w:val="Normal"/>
        <w:spacing w:lineRule="atLeast" w:line="240"/>
        <w:rPr>
          <w:b/>
          <w:color w:val="000000"/>
          <w:sz w:val="24"/>
        </w:rPr>
      </w:pPr>
      <w:r>
        <w:rPr>
          <w:b/>
          <w:color w:val="000000"/>
          <w:sz w:val="24"/>
        </w:rPr>
      </w:r>
    </w:p>
    <w:p>
      <w:pPr>
        <w:pStyle w:val="Normal"/>
        <w:spacing w:lineRule="atLeast" w:line="240"/>
        <w:rPr>
          <w:b/>
          <w:color w:val="000000"/>
          <w:sz w:val="24"/>
        </w:rPr>
      </w:pPr>
      <w:r>
        <w:rPr>
          <w:b/>
          <w:color w:val="000000"/>
          <w:sz w:val="24"/>
        </w:rPr>
        <w:t>Does Enron plan to pull out of the South American market?</w:t>
      </w:r>
    </w:p>
    <w:p>
      <w:pPr>
        <w:pStyle w:val="Normal"/>
        <w:spacing w:lineRule="atLeast" w:line="240"/>
        <w:rPr>
          <w:b/>
          <w:color w:val="000000"/>
          <w:sz w:val="24"/>
        </w:rPr>
      </w:pPr>
      <w:r>
        <w:rPr>
          <w:b/>
          <w:color w:val="000000"/>
          <w:sz w:val="24"/>
        </w:rPr>
      </w:r>
    </w:p>
    <w:p>
      <w:pPr>
        <w:pStyle w:val="Normal"/>
        <w:spacing w:lineRule="atLeast" w:line="240"/>
        <w:rPr>
          <w:sz w:val="24"/>
        </w:rPr>
      </w:pPr>
      <w:r>
        <w:rPr>
          <w:sz w:val="24"/>
        </w:rPr>
        <w:t xml:space="preserve">No. We believe that there are significant opportunities for growth in Brazil and throughout South America.  Enron has built a strong core business in the region and we continue to be in a growth mode.  </w:t>
      </w:r>
    </w:p>
    <w:p>
      <w:pPr>
        <w:pStyle w:val="Normal"/>
        <w:spacing w:lineRule="atLeast" w:line="240"/>
        <w:rPr>
          <w:sz w:val="24"/>
        </w:rPr>
      </w:pPr>
      <w:r>
        <w:rPr>
          <w:sz w:val="24"/>
        </w:rPr>
      </w:r>
    </w:p>
    <w:p>
      <w:pPr>
        <w:pStyle w:val="Style19"/>
        <w:rPr>
          <w:rFonts w:ascii="Times New Roman" w:hAnsi="Times New Roman" w:cs="Times New Roman"/>
          <w:b/>
          <w:color w:val="000000"/>
        </w:rPr>
      </w:pPr>
      <w:r>
        <w:rPr>
          <w:rFonts w:cs="Times New Roman" w:ascii="Times New Roman" w:hAnsi="Times New Roman"/>
          <w:b/>
          <w:color w:val="000000"/>
        </w:rPr>
        <w:t>What is Ernon’s business strategy in South America?</w:t>
      </w:r>
    </w:p>
    <w:p>
      <w:pPr>
        <w:pStyle w:val="Normal"/>
        <w:rPr>
          <w:rFonts w:ascii="Times New Roman" w:hAnsi="Times New Roman" w:cs="Times New Roman"/>
          <w:b/>
          <w:color w:val="000000"/>
          <w:sz w:val="24"/>
        </w:rPr>
      </w:pPr>
      <w:r>
        <w:rPr>
          <w:rFonts w:cs="Times New Roman"/>
          <w:b/>
          <w:color w:val="000000"/>
          <w:sz w:val="24"/>
        </w:rPr>
      </w:r>
    </w:p>
    <w:p>
      <w:pPr>
        <w:pStyle w:val="Normal"/>
        <w:spacing w:lineRule="atLeast" w:line="240"/>
        <w:rPr>
          <w:sz w:val="24"/>
        </w:rPr>
      </w:pPr>
      <w:r>
        <w:rPr>
          <w:sz w:val="24"/>
        </w:rPr>
        <w:t>As the South American market continues to evolve and technology plays an increasingly prominent role in the day-to-day business operations, there will be many new opportunities for Enron to expand its efforts into the same high value areas that we have been pursuing in the United States and Europe.  These include direct sales energy services and energy outsourcing.  While our focus on products may be evolving, our long-standing commitment to the region is strong.</w:t>
      </w:r>
    </w:p>
    <w:p>
      <w:pPr>
        <w:pStyle w:val="Normal"/>
        <w:spacing w:lineRule="atLeast" w:line="240"/>
        <w:rPr>
          <w:sz w:val="24"/>
        </w:rPr>
      </w:pPr>
      <w:r>
        <w:rPr>
          <w:sz w:val="24"/>
        </w:rPr>
      </w:r>
    </w:p>
    <w:p>
      <w:pPr>
        <w:pStyle w:val="Normal"/>
        <w:spacing w:lineRule="atLeast" w:line="240"/>
        <w:rPr>
          <w:b/>
          <w:color w:val="000000"/>
          <w:sz w:val="24"/>
        </w:rPr>
      </w:pPr>
      <w:r>
        <w:rPr>
          <w:b/>
          <w:color w:val="000000"/>
          <w:sz w:val="24"/>
        </w:rPr>
        <w:t>Is Enron getting out of the asset business?</w:t>
      </w:r>
    </w:p>
    <w:p>
      <w:pPr>
        <w:pStyle w:val="Normal"/>
        <w:spacing w:lineRule="atLeast" w:line="240"/>
        <w:rPr>
          <w:b/>
          <w:color w:val="000000"/>
          <w:sz w:val="24"/>
        </w:rPr>
      </w:pPr>
      <w:r>
        <w:rPr>
          <w:b/>
          <w:color w:val="000000"/>
          <w:sz w:val="24"/>
        </w:rPr>
      </w:r>
    </w:p>
    <w:p>
      <w:pPr>
        <w:pStyle w:val="BodyTextIndent"/>
        <w:rPr>
          <w:rFonts w:ascii="Times New Roman" w:hAnsi="Times New Roman" w:cs="Times New Roman"/>
        </w:rPr>
      </w:pPr>
      <w:r>
        <w:rPr>
          <w:rFonts w:cs="Times New Roman" w:ascii="Times New Roman" w:hAnsi="Times New Roman"/>
        </w:rPr>
        <w:t>No.  We will continue to pursue businesses that require the development, ownership and operation of strategic assets.  Examples include: Riogen I (496MW) and Cuiaba II (474MW), gas-fired power generation projects, located in the states of Rio de Janeiro and Mato Grosso, respectively.  Both have emergency plant status and work is underway to have the projects completed in 2003.  Access to these plants, plus other targeted presence in  the regional energy delivery channels, enable Enron the ability to  package the right combination of commodity delivery and infrastructure development and management skills with unique finance, marketing, regulatory and risk management services for its customers.  Whenever capital is employed in owning assets, the ROC performance targets will have to be met.</w:t>
      </w:r>
    </w:p>
    <w:p>
      <w:pPr>
        <w:pStyle w:val="BodyTextIndent"/>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b/>
      <w:color w:val="000000"/>
      <w:sz w:val="24"/>
    </w:rPr>
  </w:style>
  <w:style w:type="character" w:styleId="DefaultParagraphFont">
    <w:name w:val="Default Paragraph Font"/>
    <w:qFormat/>
    <w:rPr/>
  </w:style>
  <w:style w:type="paragraph" w:styleId="Heading">
    <w:name w:val="Heading"/>
    <w:basedOn w:val="Normal"/>
    <w:next w:val="BodyText"/>
    <w:qFormat/>
    <w:pPr>
      <w:spacing w:lineRule="atLeast" w:line="240"/>
      <w:jc w:val="center"/>
    </w:pPr>
    <w:rPr>
      <w:rFonts w:ascii="Helv;Arial" w:hAnsi="Helv;Arial" w:cs="Helv;Arial"/>
      <w:b/>
      <w:color w:val="000000"/>
      <w:lang w:eastAsia="en-US"/>
    </w:rPr>
  </w:style>
  <w:style w:type="paragraph" w:styleId="BodyText">
    <w:name w:val="Body Text"/>
    <w:basedOn w:val="Normal"/>
    <w:pPr>
      <w:spacing w:lineRule="atLeast" w:line="240"/>
    </w:pPr>
    <w:rPr>
      <w:b/>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rPr>
      <w:rFonts w:ascii="Arial" w:hAnsi="Arial" w:cs="Arial"/>
      <w:sz w:val="24"/>
      <w:lang w:eastAsia="en-US"/>
    </w:rPr>
  </w:style>
  <w:style w:type="paragraph" w:styleId="Style19">
    <w:name w:val="Style19"/>
    <w:qFormat/>
    <w:pPr>
      <w:widowControl/>
      <w:bidi w:val="0"/>
    </w:pPr>
    <w:rPr>
      <w:rFonts w:ascii="Arial" w:hAnsi="Arial" w:eastAsia="Times New Roman" w:cs="Arial"/>
      <w:color w:val="auto"/>
      <w:sz w:val="24"/>
      <w:szCs w:val="20"/>
      <w:lang w:val="en-US" w:eastAsia="en-US" w:bidi="hi-IN"/>
    </w:rPr>
  </w:style>
  <w:style w:type="paragraph" w:styleId="BodyText2">
    <w:name w:val="Body Text 2"/>
    <w:basedOn w:val="Normal"/>
    <w:qFormat/>
    <w:pPr/>
    <w:rPr>
      <w:b/>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2000-09-04T22:01:00Z</dcterms:created>
  <dc:creator>Enron Technology</dc:creator>
  <dc:description/>
  <dc:language>en-CA</dc:language>
  <cp:lastModifiedBy>Enron Technology</cp:lastModifiedBy>
  <dcterms:modified xsi:type="dcterms:W3CDTF">2000-09-15T15:23:00Z</dcterms:modified>
  <cp:revision>21</cp:revision>
  <dc:subject/>
  <dc:title>Draft # 2  May 11, 2000</dc:title>
</cp:coreProperties>
</file>