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THE REAL STORY</w:t>
      </w:r>
    </w:p>
    <w:p>
      <w:pPr>
        <w:pStyle w:val="Normal"/>
        <w:rPr/>
      </w:pPr>
      <w:r>
        <w:rPr/>
      </w:r>
    </w:p>
    <w:p>
      <w:pPr>
        <w:pStyle w:val="Normal"/>
        <w:rPr/>
      </w:pPr>
      <w:r>
        <w:rPr/>
      </w:r>
    </w:p>
    <w:p>
      <w:pPr>
        <w:pStyle w:val="Normal"/>
        <w:rPr/>
      </w:pPr>
      <w:r>
        <w:rPr/>
        <w:t>In recent weeks, much has been said about what happened this summer in California and why.  To help policymakers with the myriad of reports and analysis now underway, EPSA offers the following information.  We urge market participants, regulators, legislators, analysts and commentators to look at all the facts before rushing to conclusion or judgments about what happened.  No one is well served by a rush to judgment, by perpetuating the unfounded allegations swirling in California, or by implementing temporary “fixes” that continue to create uncertainty and distortions into the future.</w:t>
      </w:r>
    </w:p>
    <w:p>
      <w:pPr>
        <w:pStyle w:val="Normal"/>
        <w:rPr/>
      </w:pPr>
      <w:r>
        <w:rPr/>
      </w:r>
    </w:p>
    <w:p>
      <w:pPr>
        <w:pStyle w:val="Normal"/>
        <w:numPr>
          <w:ilvl w:val="0"/>
          <w:numId w:val="4"/>
        </w:numPr>
        <w:rPr/>
      </w:pPr>
      <w:r>
        <w:rPr>
          <w:b/>
        </w:rPr>
        <w:t>Supply and Demand</w:t>
      </w:r>
    </w:p>
    <w:p>
      <w:pPr>
        <w:pStyle w:val="Normal"/>
        <w:rPr/>
      </w:pPr>
      <w:r>
        <w:rPr/>
      </w:r>
    </w:p>
    <w:p>
      <w:pPr>
        <w:pStyle w:val="Normal"/>
        <w:rPr/>
      </w:pPr>
      <w:r>
        <w:rPr/>
        <w:t>As we learned in Economics 101, in any commodity market, prices go up when supplies are tight.  California is facing a severe shortage of generating capacity:</w:t>
      </w:r>
    </w:p>
    <w:p>
      <w:pPr>
        <w:pStyle w:val="Normal"/>
        <w:rPr/>
      </w:pPr>
      <w:r>
        <w:rPr/>
      </w:r>
    </w:p>
    <w:p>
      <w:pPr>
        <w:pStyle w:val="Normal"/>
        <w:numPr>
          <w:ilvl w:val="0"/>
          <w:numId w:val="2"/>
        </w:numPr>
        <w:tabs>
          <w:tab w:val="clear" w:pos="720"/>
        </w:tabs>
        <w:ind w:hanging="360" w:start="720" w:end="0"/>
        <w:rPr/>
      </w:pPr>
      <w:r>
        <w:rPr/>
        <w:t>From 1996 to 1999 peak demand increased by 5,522 megawatts, while only 672 megawatts of net capacity was added.</w:t>
      </w:r>
      <w:r>
        <w:rPr>
          <w:rStyle w:val="FootnoteCharacters"/>
          <w:rStyle w:val="FootnoteReference"/>
        </w:rPr>
        <w:footnoteReference w:id="2"/>
      </w:r>
    </w:p>
    <w:p>
      <w:pPr>
        <w:pStyle w:val="Normal"/>
        <w:numPr>
          <w:ilvl w:val="0"/>
          <w:numId w:val="2"/>
        </w:numPr>
        <w:tabs>
          <w:tab w:val="clear" w:pos="720"/>
        </w:tabs>
        <w:ind w:hanging="360" w:start="720" w:end="0"/>
        <w:rPr/>
      </w:pPr>
      <w:r>
        <w:rPr/>
        <w:t>Electricity demand in California has increased 28% since 1992 and is growing at over 5% per year.</w:t>
      </w:r>
    </w:p>
    <w:p>
      <w:pPr>
        <w:pStyle w:val="Normal"/>
        <w:numPr>
          <w:ilvl w:val="0"/>
          <w:numId w:val="2"/>
        </w:numPr>
        <w:tabs>
          <w:tab w:val="clear" w:pos="720"/>
        </w:tabs>
        <w:ind w:hanging="360" w:start="720" w:end="0"/>
        <w:rPr/>
      </w:pPr>
      <w:r>
        <w:rPr/>
        <w:t>California accounts for less than half of the demand in the Western Interconnection (WSCC), which is also seeing significant load growth.</w:t>
      </w:r>
      <w:r>
        <w:rPr>
          <w:rStyle w:val="FootnoteCharacters"/>
          <w:rStyle w:val="FootnoteReference"/>
        </w:rPr>
        <w:footnoteReference w:id="3"/>
      </w:r>
    </w:p>
    <w:p>
      <w:pPr>
        <w:pStyle w:val="Normal"/>
        <w:numPr>
          <w:ilvl w:val="0"/>
          <w:numId w:val="2"/>
        </w:numPr>
        <w:tabs>
          <w:tab w:val="clear" w:pos="720"/>
        </w:tabs>
        <w:ind w:hanging="360" w:start="720" w:end="0"/>
        <w:rPr/>
      </w:pPr>
      <w:r>
        <w:rPr/>
        <w:t>This year’s hydro conditions are running at about 93% of normal, compared with run-offs at well over 100% of normal for the last few years.</w:t>
      </w:r>
    </w:p>
    <w:p>
      <w:pPr>
        <w:pStyle w:val="Normal"/>
        <w:numPr>
          <w:ilvl w:val="0"/>
          <w:numId w:val="2"/>
        </w:numPr>
        <w:tabs>
          <w:tab w:val="clear" w:pos="720"/>
        </w:tabs>
        <w:ind w:hanging="360" w:start="720" w:end="0"/>
        <w:rPr/>
      </w:pPr>
      <w:r>
        <w:rPr/>
        <w:t>Hot weather blanketed much of the west this summer, with high temperatures seen simultaneous from Seattle to Phoenix on some days, particularly when compared to last summer, which was cooler than usual.</w:t>
      </w:r>
    </w:p>
    <w:p>
      <w:pPr>
        <w:pStyle w:val="Normal"/>
        <w:numPr>
          <w:ilvl w:val="0"/>
          <w:numId w:val="2"/>
        </w:numPr>
        <w:tabs>
          <w:tab w:val="clear" w:pos="720"/>
        </w:tabs>
        <w:ind w:hanging="360" w:start="720" w:end="0"/>
        <w:rPr/>
      </w:pPr>
      <w:r>
        <w:rPr/>
        <w:t>Fires in the west have knocked out some transmission lines, further limiting the movement of power.</w:t>
      </w:r>
    </w:p>
    <w:p>
      <w:pPr>
        <w:pStyle w:val="Normal"/>
        <w:rPr/>
      </w:pPr>
      <w:r>
        <w:rPr/>
      </w:r>
    </w:p>
    <w:p>
      <w:pPr>
        <w:pStyle w:val="Normal"/>
        <w:rPr/>
      </w:pPr>
      <w:r>
        <w:rPr/>
        <w:t>In addition to shortages, generators faced new and different operational challenges this year.</w:t>
      </w:r>
    </w:p>
    <w:p>
      <w:pPr>
        <w:pStyle w:val="Normal"/>
        <w:rPr/>
      </w:pPr>
      <w:r>
        <w:rPr/>
      </w:r>
    </w:p>
    <w:p>
      <w:pPr>
        <w:pStyle w:val="Normal"/>
        <w:numPr>
          <w:ilvl w:val="0"/>
          <w:numId w:val="3"/>
        </w:numPr>
        <w:tabs>
          <w:tab w:val="clear" w:pos="720"/>
        </w:tabs>
        <w:ind w:hanging="360" w:start="720" w:end="0"/>
        <w:rPr/>
      </w:pPr>
      <w:r>
        <w:rPr/>
        <w:t>Natural gas prices this year roughly doubled from 1999, increasing the cost of generation by $25 to $35 a megawatt hour.</w:t>
      </w:r>
      <w:r>
        <w:rPr>
          <w:rStyle w:val="FootnoteCharacters"/>
          <w:rStyle w:val="FootnoteReference"/>
        </w:rPr>
        <w:footnoteReference w:id="4"/>
      </w:r>
    </w:p>
    <w:p>
      <w:pPr>
        <w:pStyle w:val="Normal"/>
        <w:numPr>
          <w:ilvl w:val="0"/>
          <w:numId w:val="3"/>
        </w:numPr>
        <w:tabs>
          <w:tab w:val="clear" w:pos="720"/>
        </w:tabs>
        <w:ind w:hanging="360" w:start="720" w:end="0"/>
        <w:rPr/>
      </w:pPr>
      <w:r>
        <w:rPr/>
        <w:t>The cost of emission credits has risen $3 to $4 per pound last summer to $40 to $50 per pound this summer and fewer credits are available at any price.  The cost of fuel and NOx credits for a gas-fired peaking unit in California is now around $147/megawatt hour.</w:t>
      </w:r>
      <w:r>
        <w:rPr>
          <w:rStyle w:val="FootnoteCharacters"/>
          <w:rStyle w:val="FootnoteReference"/>
        </w:rPr>
        <w:footnoteReference w:id="5"/>
      </w:r>
    </w:p>
    <w:p>
      <w:pPr>
        <w:pStyle w:val="Normal"/>
        <w:numPr>
          <w:ilvl w:val="0"/>
          <w:numId w:val="3"/>
        </w:numPr>
        <w:tabs>
          <w:tab w:val="clear" w:pos="720"/>
        </w:tabs>
        <w:ind w:hanging="360" w:start="720" w:end="0"/>
        <w:rPr/>
      </w:pPr>
      <w:r>
        <w:rPr/>
        <w:t>61% of the generating fleet is over 30 years old, requiring more maintenance then newer plants.</w:t>
      </w:r>
    </w:p>
    <w:p>
      <w:pPr>
        <w:pStyle w:val="Normal"/>
        <w:rPr/>
      </w:pPr>
      <w:r>
        <w:rPr/>
      </w:r>
    </w:p>
    <w:p>
      <w:pPr>
        <w:pStyle w:val="Normal"/>
        <w:numPr>
          <w:ilvl w:val="0"/>
          <w:numId w:val="4"/>
        </w:numPr>
        <w:rPr/>
      </w:pPr>
      <w:r>
        <w:rPr>
          <w:b/>
        </w:rPr>
        <w:t>Market Structure Matters:  The Wholesale Story</w:t>
      </w:r>
    </w:p>
    <w:p>
      <w:pPr>
        <w:pStyle w:val="Normal"/>
        <w:rPr/>
      </w:pPr>
      <w:r>
        <w:rPr/>
      </w:r>
    </w:p>
    <w:p>
      <w:pPr>
        <w:pStyle w:val="Normal"/>
        <w:rPr/>
      </w:pPr>
      <w:r>
        <w:rPr/>
        <w:t>There are two fundamental problems with the wholesale market in California:  a structure that drives to short-term markets and price caps.</w:t>
      </w:r>
    </w:p>
    <w:p>
      <w:pPr>
        <w:pStyle w:val="Normal"/>
        <w:rPr/>
      </w:pPr>
      <w:r>
        <w:rPr/>
      </w:r>
    </w:p>
    <w:p>
      <w:pPr>
        <w:pStyle w:val="Normal"/>
        <w:rPr/>
      </w:pPr>
      <w:r>
        <w:rPr/>
        <w:t>The California wholesale market has been designed to drive participants into day-ahead, day-of and real-time markets.  In any commodity market, it is natural that these shorter-term markets will be the most volatile.  Contrary to popular belief, generators and marketers are not inveterate gamblers seeking creative strategies to drive up prices.  Rather, these companies have invested millions of dollars in California assets and prefer a strategy that permits most, in not all, of their risks to be hedged in forward markets.  Thus, many generators sold power ahead of the summer.   Data from the California PX shows that from February to May, forward contracts for June, July and August were available for $55 to $65 a megawatt.</w:t>
      </w:r>
      <w:r>
        <w:rPr>
          <w:rStyle w:val="FootnoteCharacters"/>
          <w:rStyle w:val="FootnoteReference"/>
        </w:rPr>
        <w:footnoteReference w:id="6"/>
      </w:r>
      <w:r>
        <w:rPr/>
        <w:t xml:space="preserve">  </w:t>
      </w:r>
    </w:p>
    <w:p>
      <w:pPr>
        <w:pStyle w:val="Normal"/>
        <w:rPr/>
      </w:pPr>
      <w:r>
        <w:rPr/>
      </w:r>
    </w:p>
    <w:p>
      <w:pPr>
        <w:pStyle w:val="Normal"/>
        <w:rPr/>
      </w:pPr>
      <w:r>
        <w:rPr/>
        <w:t>In contrast, California’s rules limit the ability of utilities to access the hedging tools normally available in the wholesale markets.</w:t>
      </w:r>
      <w:r>
        <w:rPr>
          <w:rStyle w:val="FootnoteCharacters"/>
        </w:rPr>
        <w:t xml:space="preserve"> </w:t>
      </w:r>
      <w:r>
        <w:rPr>
          <w:rStyle w:val="FootnoteCharacters"/>
          <w:rStyle w:val="FootnoteReference"/>
        </w:rPr>
        <w:footnoteReference w:id="7"/>
      </w:r>
      <w:r>
        <w:rPr/>
        <w:t xml:space="preserve">  Utilities are permitted to buy a limited portion of their load in the block forwards markets, which mitigates some of the risk, but do not provide bilateral contracts, options and off-peak risk mitigation tools otherwise in use in the wholesale market.  Even with the authority to participate in these markets, however, none of the California utilities took full advantage of their ability to hedge.  Southern California Edison, for example, hedged about 1,750 megawatts of its 2,200-megawatt limit in June and 3,000 to 3,500 of its 5,200-megawatt limit for July to September.  SDG&amp;E bought none of its supplies in the forward market, relying solely on the day ahead and day of markets.</w:t>
      </w:r>
      <w:r>
        <w:rPr>
          <w:rStyle w:val="FootnoteCharacters"/>
          <w:rStyle w:val="FootnoteReference"/>
        </w:rPr>
        <w:footnoteReference w:id="8"/>
      </w:r>
      <w:r>
        <w:rPr/>
        <w:t xml:space="preserve">  </w:t>
      </w:r>
    </w:p>
    <w:p>
      <w:pPr>
        <w:pStyle w:val="Normal"/>
        <w:rPr/>
      </w:pPr>
      <w:r>
        <w:rPr/>
      </w:r>
    </w:p>
    <w:p>
      <w:pPr>
        <w:pStyle w:val="Normal"/>
        <w:rPr/>
      </w:pPr>
      <w:r>
        <w:rPr/>
        <w:t>Price caps have also created a problem in the Cal ISO’s real-time balancing market, driving the load serving entities in California to under-schedule their power needs in the day-ahead markets.  The balancing market price caps provide a free hedging product, allowing utilities to transfer purchases to the real time market when the day-ahead market heats up.  Underscheduling has significant operational and reliability impacts when the Cal ISO is forced to find as much as 14,000 megawatts in the real-time market.  Price caps have also discouraged demand-side responses and load reduction programs.</w:t>
      </w:r>
    </w:p>
    <w:p>
      <w:pPr>
        <w:pStyle w:val="Normal"/>
        <w:rPr/>
      </w:pPr>
      <w:r>
        <w:rPr/>
      </w:r>
    </w:p>
    <w:p>
      <w:pPr>
        <w:pStyle w:val="Normal"/>
        <w:rPr>
          <w:b/>
        </w:rPr>
      </w:pPr>
      <w:r>
        <w:rPr>
          <w:b/>
        </w:rPr>
        <w:t>3.</w:t>
        <w:tab/>
        <w:t>Market Structure Matters:  The Retail Story</w:t>
      </w:r>
    </w:p>
    <w:p>
      <w:pPr>
        <w:pStyle w:val="Normal"/>
        <w:rPr>
          <w:b/>
        </w:rPr>
      </w:pPr>
      <w:r>
        <w:rPr>
          <w:b/>
        </w:rPr>
      </w:r>
    </w:p>
    <w:p>
      <w:pPr>
        <w:pStyle w:val="Normal"/>
        <w:rPr/>
      </w:pPr>
      <w:r>
        <w:rPr/>
        <w:t xml:space="preserve">Wholesale and retail markets are two sides of the same coin.  Both need to function well for either to function well.  If wholesale markets don’t work, retail suppliers can’t provide customers with products that meet their needs.  On the other hand, if retail markets don’t work, load cannot respond to price signals.  </w:t>
      </w:r>
    </w:p>
    <w:p>
      <w:pPr>
        <w:pStyle w:val="Normal"/>
        <w:rPr/>
      </w:pPr>
      <w:r>
        <w:rPr/>
      </w:r>
    </w:p>
    <w:p>
      <w:pPr>
        <w:pStyle w:val="Normal"/>
        <w:rPr/>
      </w:pPr>
      <w:r>
        <w:rPr/>
        <w:t xml:space="preserve">While California got a great deal of attention a few years ago for being the first state to open its retail markets, in fact, restructuring in California has been largely at the wholesale level.  While customer switching isn’t the only metric of success, only about 2% of California’s customers have switched suppliers – almost exclusively to subsidized green products.  In opening its retail markets, California’s fundamental error was to tie retail prices to the wholesale market, leaving new market entrants no opportunity to profitably serve customers.  California’s approach to stranded cost recovery requires new retail suppliers to be able to beat the wholesale price in every hour in order to be able to serve customers, clearly an impossible task.  </w:t>
      </w:r>
    </w:p>
    <w:p>
      <w:pPr>
        <w:pStyle w:val="Normal"/>
        <w:rPr/>
      </w:pPr>
      <w:r>
        <w:rPr/>
      </w:r>
    </w:p>
    <w:p>
      <w:pPr>
        <w:pStyle w:val="Normal"/>
        <w:rPr/>
      </w:pPr>
      <w:r>
        <w:rPr/>
        <w:t>As a result, no retail suppliers were positioned to serve San Diego’s load when the rate freeze ended.  SDG&amp;E was left as the default supplier, a role they didn’t want and served poorly.  SDG&amp;E’s failure to use appropriate hedging tools and its inability unable to respond high prices with demand reductions, left retail customers unprotected from wholesale price volatility in the real-time markets.  This decision appears to have been made because of SDG&amp;E’s desire to become a “wires company.”  However, just fixing the wholesale side, by requiring SDG&amp;E to acquire long-term power supplies in the forward markets, would entrench SDG&amp;E in its supplier role, making new market entrance even more difficult.</w:t>
      </w:r>
    </w:p>
    <w:p>
      <w:pPr>
        <w:pStyle w:val="Normal"/>
        <w:rPr/>
      </w:pPr>
      <w:r>
        <w:rPr/>
      </w:r>
    </w:p>
    <w:p>
      <w:pPr>
        <w:pStyle w:val="Normal"/>
        <w:rPr/>
      </w:pPr>
      <w:r>
        <w:rPr/>
        <w:t>Here again, price caps had a detrimental effect, discourage energy conservation, demand-side responsiveness to prices, or participation in load reduction programs.  Continual price caps and political “bail outs” discourage large customers or aggregators for smaller customers from hedging energy prices, since regulatory and political action will undermine the value of taking those steps. When the Cal ISO asked for demand response bids from industrial customers (the price at which load would stop taking power) the price turned out to be over $1,200 per megawatt, not $250.</w:t>
      </w:r>
    </w:p>
    <w:p>
      <w:pPr>
        <w:pStyle w:val="Normal"/>
        <w:rPr/>
      </w:pPr>
      <w:r>
        <w:rPr/>
      </w:r>
    </w:p>
    <w:p>
      <w:pPr>
        <w:pStyle w:val="Normal"/>
        <w:rPr/>
      </w:pPr>
      <w:r>
        <w:rPr/>
      </w:r>
    </w:p>
    <w:p>
      <w:pPr>
        <w:pStyle w:val="Normal"/>
        <w:rPr/>
      </w:pPr>
      <w:r>
        <w:rPr/>
      </w:r>
    </w:p>
    <w:p>
      <w:pPr>
        <w:pStyle w:val="Normal"/>
        <w:numPr>
          <w:ilvl w:val="0"/>
          <w:numId w:val="5"/>
        </w:numPr>
        <w:rPr>
          <w:b/>
        </w:rPr>
      </w:pPr>
      <w:r>
        <w:rPr>
          <w:b/>
        </w:rPr>
        <w:t>New Investment:  Getting It Done</w:t>
      </w:r>
    </w:p>
    <w:p>
      <w:pPr>
        <w:pStyle w:val="Normal"/>
        <w:rPr>
          <w:b/>
        </w:rPr>
      </w:pPr>
      <w:r>
        <w:rPr>
          <w:b/>
        </w:rPr>
      </w:r>
    </w:p>
    <w:p>
      <w:pPr>
        <w:pStyle w:val="Normal"/>
        <w:rPr/>
      </w:pPr>
      <w:r>
        <w:rPr/>
        <w:t>To date, over 14,000 megawatts of new capacity have been announced for California.  Only four new power plants are under construction, with only 2 scheduled to be on-line this summer.  Throughout the WSCC, only 915 new megawatts are planned for this summer, despite an estimated region-wide load growth of 3,600 megawatts.  By the summer of 2001, 4,150 new megawatts will be on-line in WSCC, with only 1,000 of those megawatts located in California.  Clearly, price caps play a role in stifling new investment.  While some new generation can successfully be built and operated under the caps, much needed peaking units face a tougher situation.  Units which operate only a few hours a year have to recover all of their fixed and operating costs over those limited hours of operation.  From April of 1999 to March of 2000, the generators supplying the last 10% of the Cal ISO’s peak load ran less than 33 hours.  To recover solely costs, with no profits, the price would need to be over $1,450 per megawatt.</w:t>
      </w:r>
      <w:r>
        <w:rPr>
          <w:rStyle w:val="FootnoteCharacters"/>
          <w:rStyle w:val="FootnoteReference"/>
        </w:rPr>
        <w:footnoteReference w:id="9"/>
      </w:r>
      <w:r>
        <w:rPr/>
        <w:t xml:space="preserve">  </w:t>
      </w:r>
    </w:p>
    <w:p>
      <w:pPr>
        <w:pStyle w:val="Normal"/>
        <w:rPr/>
      </w:pPr>
      <w:r>
        <w:rPr/>
      </w:r>
    </w:p>
    <w:p>
      <w:pPr>
        <w:pStyle w:val="Normal"/>
        <w:rPr/>
      </w:pPr>
      <w:r>
        <w:rPr/>
        <w:t>Price caps have other disruptive impacts in the market.  In addition to dampening price signals for much needed investments, price caps also discourage demand-side response to higher prices, eliminating incentives customers might have to reduce load or switch suppliers to find a better deal.  Price caps also introduce a measure of regulatory and political risk.  We have seen price caps in California plummet from $750 to $500 to $250, with calls for $125.  This approach sends signals to national development companies and the lenders who finance these plants, that investment outside California is safer and more profitable.</w:t>
      </w:r>
    </w:p>
    <w:p>
      <w:pPr>
        <w:pStyle w:val="Normal"/>
        <w:rPr/>
      </w:pPr>
      <w:r>
        <w:rPr/>
      </w:r>
    </w:p>
    <w:p>
      <w:pPr>
        <w:pStyle w:val="Normal"/>
        <w:rPr/>
      </w:pPr>
      <w:r>
        <w:rPr/>
        <w:t xml:space="preserve">Price caps reflect another problem:  they are completely arbitrary and do not reflect either the cost or value of power.  Californians have developed an unrealistic expectation of what reasonable power prices are.  The price of power has been capped for several years at a rate that reflected a 10% discount.  Thus, customers in 2000 are expecting prices more compatible with pre-1996 prices. </w:t>
      </w:r>
    </w:p>
    <w:p>
      <w:pPr>
        <w:pStyle w:val="Normal"/>
        <w:rPr/>
      </w:pPr>
      <w:r>
        <w:rPr/>
      </w:r>
    </w:p>
    <w:p>
      <w:pPr>
        <w:pStyle w:val="Normal"/>
        <w:rPr/>
      </w:pPr>
      <w:r>
        <w:rPr/>
        <w:t xml:space="preserve">In addition to price caps, the regulatory environment in California makes building new power plants a difficult undertaking.  Numerous regulatory agencies are involved, imposing time delays and stringent permitting requirements, often with calls for untested environmental technology.  Power development companies are national companies, assessing development opportunities in numerous locations across the United States (and often internationally as well) simultaneously.  Some companies have successfully taken generation projects from </w:t>
      </w:r>
      <w:r>
        <w:rPr>
          <w:i/>
        </w:rPr>
        <w:t>conception</w:t>
      </w:r>
      <w:r>
        <w:rPr/>
        <w:t xml:space="preserve"> to </w:t>
      </w:r>
      <w:r>
        <w:rPr>
          <w:i/>
        </w:rPr>
        <w:t>production</w:t>
      </w:r>
      <w:r>
        <w:rPr/>
        <w:t xml:space="preserve"> in less than 12 months.  In California, the multi-year siting process, NIMBY opposition, the risk of litigation, and regulatory price interventions combine to suggest prudent companies take their turbines and invest elsewhere.  Where companies choose to face the hurdles associated with developing California projects, the competition for capital and financing often drive investment decisions to other markets.</w:t>
      </w:r>
    </w:p>
    <w:p>
      <w:pPr>
        <w:pStyle w:val="Normal"/>
        <w:rPr>
          <w:b/>
        </w:rPr>
      </w:pPr>
      <w:r>
        <w:rPr>
          <w:b/>
        </w:rPr>
      </w:r>
    </w:p>
    <w:p>
      <w:pPr>
        <w:pStyle w:val="Normal"/>
        <w:numPr>
          <w:ilvl w:val="0"/>
          <w:numId w:val="6"/>
        </w:numPr>
        <w:rPr/>
      </w:pPr>
      <w:r>
        <w:rPr>
          <w:b/>
        </w:rPr>
        <w:t>Solutions</w:t>
      </w:r>
    </w:p>
    <w:p>
      <w:pPr>
        <w:pStyle w:val="Normal"/>
        <w:rPr/>
      </w:pPr>
      <w:r>
        <w:rPr/>
      </w:r>
    </w:p>
    <w:p>
      <w:pPr>
        <w:pStyle w:val="Normal"/>
        <w:rPr/>
      </w:pPr>
      <w:r>
        <w:rPr/>
        <w:t>Finding a way out of this thicket is difficult.  EPSA offers the following suggestions:</w:t>
      </w:r>
    </w:p>
    <w:p>
      <w:pPr>
        <w:pStyle w:val="Normal"/>
        <w:jc w:val="center"/>
        <w:rPr/>
      </w:pPr>
      <w:r>
        <w:rPr/>
      </w:r>
    </w:p>
    <w:p>
      <w:pPr>
        <w:pStyle w:val="Normal"/>
        <w:numPr>
          <w:ilvl w:val="0"/>
          <w:numId w:val="1"/>
        </w:numPr>
        <w:spacing w:before="0" w:after="120"/>
        <w:rPr/>
      </w:pPr>
      <w:r>
        <w:rPr/>
        <w:t>The siting and permitting process for new generation and transmission facilities should be streamlined to meet growing electric demands.</w:t>
      </w:r>
    </w:p>
    <w:p>
      <w:pPr>
        <w:pStyle w:val="Normal"/>
        <w:numPr>
          <w:ilvl w:val="0"/>
          <w:numId w:val="1"/>
        </w:numPr>
        <w:spacing w:before="0" w:after="120"/>
        <w:rPr/>
      </w:pPr>
      <w:r>
        <w:rPr/>
        <w:t>All electricity purchasers (retail or wholesale) should be allowed and encouraged to use all hedging tools available in the market (including bilateral contracts).</w:t>
      </w:r>
    </w:p>
    <w:p>
      <w:pPr>
        <w:pStyle w:val="Normal"/>
        <w:numPr>
          <w:ilvl w:val="0"/>
          <w:numId w:val="1"/>
        </w:numPr>
        <w:spacing w:before="0" w:after="120"/>
        <w:rPr/>
      </w:pPr>
      <w:r>
        <w:rPr/>
        <w:t>Customers and suppliers must be able to see and respond to accurate price signals so as to encourage appropriate new investment and efficient demand responsiveness.</w:t>
      </w:r>
    </w:p>
    <w:p>
      <w:pPr>
        <w:pStyle w:val="Normal"/>
        <w:numPr>
          <w:ilvl w:val="0"/>
          <w:numId w:val="1"/>
        </w:numPr>
        <w:spacing w:before="0" w:after="120"/>
        <w:rPr/>
      </w:pPr>
      <w:r>
        <w:rPr/>
        <w:t>Retail markets need to be redesigned to assure new entry.</w:t>
      </w:r>
    </w:p>
    <w:p>
      <w:pPr>
        <w:pStyle w:val="Normal"/>
        <w:numPr>
          <w:ilvl w:val="0"/>
          <w:numId w:val="1"/>
        </w:numPr>
        <w:spacing w:before="0" w:after="120"/>
        <w:rPr/>
      </w:pPr>
      <w:r>
        <w:rPr/>
        <w:t>Creative solutions to environmental limitations need to be encouraged.</w:t>
      </w:r>
    </w:p>
    <w:p>
      <w:pPr>
        <w:pStyle w:val="Normal"/>
        <w:numPr>
          <w:ilvl w:val="0"/>
          <w:numId w:val="1"/>
        </w:numPr>
        <w:spacing w:before="0" w:after="120"/>
        <w:rPr/>
      </w:pPr>
      <w:r>
        <w:rPr/>
        <w:t>FERC needs to carefully review and consider the market redesign proposal being developed by the California ISO when it is filed.</w:t>
      </w:r>
    </w:p>
    <w:p>
      <w:pPr>
        <w:pStyle w:val="Normal"/>
        <w:numPr>
          <w:ilvl w:val="0"/>
          <w:numId w:val="1"/>
        </w:numPr>
        <w:spacing w:before="0" w:after="120"/>
        <w:rPr/>
      </w:pPr>
      <w:r>
        <w:rPr/>
        <w:t>We support FERC efforts to investigate alleged abuse of market power by all market participants.</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California Energy Commission (CEC)</w:t>
      </w:r>
    </w:p>
  </w:footnote>
  <w:footnote w:id="3">
    <w:p>
      <w:pPr>
        <w:pStyle w:val="FootnoteText"/>
        <w:rPr/>
      </w:pPr>
      <w:r>
        <w:rPr>
          <w:rStyle w:val="FootnoteCharacters"/>
        </w:rPr>
        <w:footnoteRef/>
      </w:r>
      <w:r>
        <w:rPr/>
        <w:t xml:space="preserve"> </w:t>
      </w:r>
      <w:r>
        <w:rPr/>
        <w:t>2000 WSCC Information Summary</w:t>
      </w:r>
    </w:p>
  </w:footnote>
  <w:footnote w:id="4">
    <w:p>
      <w:pPr>
        <w:pStyle w:val="FootnoteText"/>
        <w:rPr/>
      </w:pPr>
      <w:r>
        <w:rPr>
          <w:rStyle w:val="FootnoteCharacters"/>
        </w:rPr>
        <w:footnoteRef/>
      </w:r>
      <w:r>
        <w:rPr/>
        <w:t xml:space="preserve"> </w:t>
      </w:r>
      <w:r>
        <w:rPr>
          <w:i/>
        </w:rPr>
        <w:t>Natural Gas Intelligence</w:t>
      </w:r>
    </w:p>
  </w:footnote>
  <w:footnote w:id="5">
    <w:p>
      <w:pPr>
        <w:pStyle w:val="FootnoteText"/>
        <w:rPr/>
      </w:pPr>
      <w:r>
        <w:rPr>
          <w:rStyle w:val="FootnoteCharacters"/>
        </w:rPr>
        <w:footnoteRef/>
      </w:r>
      <w:r>
        <w:rPr/>
        <w:t xml:space="preserve"> </w:t>
      </w:r>
      <w:r>
        <w:rPr>
          <w:i/>
        </w:rPr>
        <w:t>Power Markets Week</w:t>
      </w:r>
      <w:r>
        <w:rPr/>
        <w:t xml:space="preserve">, August 21, 2000.  Recently, gas prices in California have reached $7.00/MMBtu.  With a heat rate of 11,000 Btus per kilowatt hour, fuel costs per megawatt hour are $77.  (At more typical fuel prices of $4 to $5 per MMBtu, the fuel price for gas generation is $44 to $55 per megawatt hour.)  At $50 per pound for NOx emission credits, the average gas plant, which emits 1.4 pounds of NOx per megawatt hour, spends $70 for NOx credits to generate one megawatt hour.  </w:t>
      </w:r>
    </w:p>
    <w:p>
      <w:pPr>
        <w:pStyle w:val="FootnoteText"/>
        <w:rPr/>
      </w:pPr>
      <w:r>
        <w:rPr/>
      </w:r>
    </w:p>
  </w:footnote>
  <w:footnote w:id="6">
    <w:p>
      <w:pPr>
        <w:pStyle w:val="Normal"/>
        <w:rPr/>
      </w:pPr>
      <w:r>
        <w:rPr>
          <w:rStyle w:val="FootnoteCharacters"/>
        </w:rPr>
        <w:footnoteRef/>
      </w:r>
      <w:r>
        <w:rPr/>
        <w:t xml:space="preserve"> </w:t>
      </w:r>
      <w:r>
        <w:rPr>
          <w:sz w:val="20"/>
        </w:rPr>
        <w:t>Of course, the closer to delivery day the more forward prices reflect the short-term markets.  By August, forward prices for September were closer to $150.</w:t>
      </w:r>
    </w:p>
    <w:p>
      <w:pPr>
        <w:pStyle w:val="FootnoteText"/>
        <w:rPr>
          <w:sz w:val="20"/>
        </w:rPr>
      </w:pPr>
      <w:r>
        <w:rPr>
          <w:sz w:val="20"/>
        </w:rPr>
      </w:r>
    </w:p>
  </w:footnote>
  <w:footnote w:id="7">
    <w:p>
      <w:pPr>
        <w:pStyle w:val="FootnoteText"/>
        <w:rPr/>
      </w:pPr>
      <w:r>
        <w:rPr>
          <w:rStyle w:val="FootnoteCharacters"/>
        </w:rPr>
        <w:footnoteRef/>
      </w:r>
      <w:r>
        <w:rPr/>
        <w:t xml:space="preserve"> </w:t>
      </w:r>
      <w:r>
        <w:rPr/>
        <w:t>Between 1997 and 1998 a number of competitive power suppliers purchased the gas- and oil-fired generation assets of PG&amp;E, Southern California Edison and SDG&amp;E.  The three utilities retained over 50% of the generating capacity in the state, and no new California generator owns more than 9% of the generating assets.</w:t>
      </w:r>
    </w:p>
    <w:p>
      <w:pPr>
        <w:pStyle w:val="FootnoteText"/>
        <w:rPr/>
      </w:pPr>
      <w:r>
        <w:rPr/>
      </w:r>
    </w:p>
  </w:footnote>
  <w:footnote w:id="8">
    <w:p>
      <w:pPr>
        <w:pStyle w:val="FootnoteText"/>
        <w:rPr/>
      </w:pPr>
      <w:r>
        <w:rPr>
          <w:rStyle w:val="FootnoteCharacters"/>
        </w:rPr>
        <w:footnoteRef/>
      </w:r>
      <w:r>
        <w:rPr/>
        <w:t xml:space="preserve"> </w:t>
      </w:r>
      <w:r>
        <w:rPr/>
        <w:t xml:space="preserve">California ISO, </w:t>
      </w:r>
      <w:r>
        <w:rPr>
          <w:i/>
        </w:rPr>
        <w:t>Report on California Energy Market Issues and Performance: May-June 2000</w:t>
      </w:r>
      <w:r>
        <w:rPr/>
        <w:t>, Special Report issued August 10, 2000.</w:t>
      </w:r>
    </w:p>
  </w:footnote>
  <w:footnote w:id="9">
    <w:p>
      <w:pPr>
        <w:pStyle w:val="FootnoteText"/>
        <w:rPr/>
      </w:pPr>
      <w:r>
        <w:rPr>
          <w:rStyle w:val="FootnoteCharacters"/>
        </w:rPr>
        <w:footnoteRef/>
      </w:r>
      <w:r>
        <w:rPr/>
        <w:t xml:space="preserve"> </w:t>
      </w:r>
      <w:r>
        <w:rPr/>
        <w:t>California ISO hourly load statistics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
    <w:lvl w:ilvl="0">
      <w:start w:val="1"/>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0" w:hanging="0"/>
      </w:pPr>
      <w:rPr>
        <w:rFonts w:ascii="Symbol" w:hAnsi="Symbol" w:cs="Symbol" w:hint="default"/>
      </w:rPr>
    </w:lvl>
  </w:abstractNum>
  <w:abstractNum w:abstractNumId="4">
    <w:lvl w:ilvl="0">
      <w:start w:val="1"/>
      <w:numFmt w:val="decimal"/>
      <w:lvlText w:val="%1."/>
      <w:lvlJc w:val="start"/>
      <w:pPr>
        <w:tabs>
          <w:tab w:val="num" w:pos="720"/>
        </w:tabs>
        <w:ind w:start="720" w:hanging="720"/>
      </w:pPr>
      <w:rPr>
        <w:b/>
      </w:rPr>
    </w:lvl>
  </w:abstractNum>
  <w:abstractNum w:abstractNumId="5">
    <w:lvl w:ilvl="0">
      <w:start w:val="4"/>
      <w:numFmt w:val="decimal"/>
      <w:lvlText w:val="%1."/>
      <w:lvlJc w:val="start"/>
      <w:pPr>
        <w:tabs>
          <w:tab w:val="num" w:pos="360"/>
        </w:tabs>
        <w:ind w:start="360" w:hanging="360"/>
      </w:pPr>
      <w:rPr/>
    </w:lvl>
  </w:abstractNum>
  <w:abstractNum w:abstractNumId="6">
    <w:lvl w:ilvl="0">
      <w:start w:val="5"/>
      <w:numFmt w:val="decimal"/>
      <w:lvlText w:val="%1."/>
      <w:lvlJc w:val="start"/>
      <w:pPr>
        <w:tabs>
          <w:tab w:val="num" w:pos="360"/>
        </w:tabs>
        <w:ind w:start="360" w:hanging="360"/>
      </w:pPr>
      <w:rPr>
        <w:b/>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rFonts w:ascii="Symbol" w:hAnsi="Symbol" w:cs="Symbol"/>
      <w:color w:val="auto"/>
      <w:sz w:val="28"/>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2000-08-28T12:38:00Z</dcterms:created>
  <dc:creator>julie simon</dc:creator>
  <dc:description/>
  <dc:language>en-CA</dc:language>
  <cp:lastModifiedBy>Jackie Gallagher</cp:lastModifiedBy>
  <cp:lastPrinted>2000-08-30T14:05:00Z</cp:lastPrinted>
  <dcterms:modified xsi:type="dcterms:W3CDTF">2000-08-30T15:46:00Z</dcterms:modified>
  <cp:revision>14</cp:revision>
  <dc:subject/>
  <dc:title>CALIFORNIA: THE REAL STORY</dc:title>
</cp:coreProperties>
</file>