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 w:val="23"/>
          <w:szCs w:val="23"/>
        </w:rPr>
      </w:pPr>
      <w:r>
        <w:rPr>
          <w:sz w:val="23"/>
          <w:szCs w:val="23"/>
        </w:rPr>
      </w:r>
    </w:p>
    <w:p>
      <w:pPr>
        <w:pStyle w:val="Normal"/>
        <w:autoSpaceDE w:val="false"/>
        <w:rPr>
          <w:b/>
          <w:bCs/>
        </w:rPr>
      </w:pPr>
      <w:r>
        <w:rPr>
          <w:b/>
          <w:bCs/>
        </w:rPr>
        <w:t>CALIFORNIA</w:t>
      </w:r>
    </w:p>
    <w:p>
      <w:pPr>
        <w:pStyle w:val="Normal"/>
        <w:autoSpaceDE w:val="false"/>
        <w:rPr/>
      </w:pPr>
      <w:r>
        <w:rPr>
          <w:i/>
          <w:iCs/>
          <w:sz w:val="23"/>
          <w:szCs w:val="23"/>
        </w:rPr>
        <w:t>Customer Choic</w:t>
      </w:r>
      <w:r>
        <w:rPr>
          <w:sz w:val="23"/>
          <w:szCs w:val="23"/>
        </w:rPr>
        <w:t xml:space="preserve">e--Transportation has been available for large (“non-core”) users since 1986. A Pacific Gas and Electric (PG&amp;E) customer must use at least 350,000 therms per year to qualify for transportation-only service, while San Diego Gas &amp; Electric (SDG&amp;E) and Southern California Gas (SCG) customers are required to use a minimum of 250,000 therms annually. PG&amp;E is a subsidiary of PG&amp;E Corporation (PCG), and SDG&amp;E and SCG are subsidiaries of Sempra Energy (SRE). In 1991, California’s LDCs instituted a transportation program that permits “core” customers (generally small commercial and residential customers) to aggregate load to qualify for transportation service. Few customers have participated in this program, which was limited to 10% of each LDC’s total volume and to a total of 10 aggregators. In 1997, the PUC approved the “Gas Accord” (GA), a comprehensive settlement between PG&amp;E and numerous parties, that reduced the minimum annual load size of a core transportation group to 120,000 therms. The GA also eliminated the 10% cap on the amount of core volume that could be served under the program. </w:t>
      </w:r>
    </w:p>
    <w:p>
      <w:pPr>
        <w:pStyle w:val="Normal"/>
        <w:autoSpaceDE w:val="false"/>
        <w:rPr>
          <w:sz w:val="23"/>
          <w:szCs w:val="23"/>
        </w:rPr>
      </w:pPr>
      <w:r>
        <w:rPr>
          <w:sz w:val="23"/>
          <w:szCs w:val="23"/>
        </w:rPr>
      </w:r>
    </w:p>
    <w:p>
      <w:pPr>
        <w:pStyle w:val="Normal"/>
        <w:autoSpaceDE w:val="false"/>
        <w:rPr>
          <w:sz w:val="23"/>
          <w:szCs w:val="23"/>
        </w:rPr>
      </w:pPr>
      <w:r>
        <w:rPr>
          <w:sz w:val="23"/>
          <w:szCs w:val="23"/>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2001-11-02T14:20:00Z</dcterms:created>
  <dc:creator>lbarnes</dc:creator>
  <dc:description/>
  <dc:language>en-CA</dc:language>
  <cp:lastModifiedBy>lbarnes</cp:lastModifiedBy>
  <dcterms:modified xsi:type="dcterms:W3CDTF">2001-11-02T14:22:00Z</dcterms:modified>
  <cp:revision>1</cp:revision>
  <dc:subject/>
  <dc:title>CALIFORNIA</dc:title>
</cp:coreProperties>
</file>