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center"/>
        <w:rPr>
          <w:b w:val="false"/>
        </w:rPr>
      </w:pPr>
      <w:r>
        <w:rPr/>
        <w:t>CAISO ENERGY</w:t>
      </w:r>
    </w:p>
    <w:p>
      <w:pPr>
        <w:pStyle w:val="Heading"/>
        <w:jc w:val="both"/>
        <w:rPr>
          <w:rFonts w:eastAsia="Arial"/>
          <w:b w:val="false"/>
          <w:sz w:val="22"/>
        </w:rPr>
      </w:pPr>
      <w:r>
        <w:rPr>
          <w:rFonts w:eastAsia="Arial"/>
          <w:b w:val="false"/>
          <w:sz w:val="22"/>
        </w:rPr>
        <w:t xml:space="preserve">  </w:t>
      </w:r>
    </w:p>
    <w:p>
      <w:pPr>
        <w:pStyle w:val="Heading"/>
        <w:jc w:val="both"/>
        <w:rPr>
          <w:b w:val="false"/>
          <w:sz w:val="22"/>
        </w:rPr>
      </w:pPr>
      <w:r>
        <w:rPr>
          <w:b w:val="false"/>
          <w:sz w:val="22"/>
        </w:rPr>
      </w:r>
    </w:p>
    <w:p>
      <w:pPr>
        <w:pStyle w:val="Heading"/>
        <w:jc w:val="both"/>
        <w:rPr>
          <w:rFonts w:cs="Arial"/>
          <w:bCs/>
          <w:sz w:val="22"/>
          <w:u w:val="single"/>
        </w:rPr>
      </w:pPr>
      <w:r>
        <w:rPr>
          <w:rFonts w:cs="Arial"/>
          <w:bCs/>
          <w:sz w:val="22"/>
          <w:u w:val="single"/>
        </w:rPr>
        <w:t xml:space="preserve">Sample Definition: </w:t>
      </w:r>
    </w:p>
    <w:p>
      <w:pPr>
        <w:pStyle w:val="BodyText2"/>
        <w:rPr>
          <w:rFonts w:ascii="Arial" w:hAnsi="Arial" w:cs="Arial"/>
          <w:bCs/>
          <w:sz w:val="20"/>
          <w:u w:val="single"/>
        </w:rPr>
      </w:pPr>
      <w:r>
        <w:rPr>
          <w:rFonts w:cs="Arial" w:ascii="Arial" w:hAnsi="Arial"/>
          <w:bCs/>
          <w:sz w:val="20"/>
          <w:u w:val="single"/>
        </w:rPr>
      </w:r>
    </w:p>
    <w:p>
      <w:pPr>
        <w:pStyle w:val="BodyText2"/>
        <w:rPr>
          <w:rFonts w:ascii="Arial" w:hAnsi="Arial" w:cs="Arial"/>
          <w:sz w:val="20"/>
        </w:rPr>
      </w:pPr>
      <w:r>
        <w:rPr>
          <w:rFonts w:cs="Arial" w:ascii="Arial" w:hAnsi="Arial"/>
          <w:sz w:val="20"/>
        </w:rPr>
        <w:t>“</w:t>
      </w:r>
      <w:r>
        <w:rPr>
          <w:rFonts w:cs="Arial" w:ascii="Arial" w:hAnsi="Arial"/>
          <w:sz w:val="20"/>
        </w:rPr>
        <w:t xml:space="preserve">CAISO Firm” means with respect to a Transaction, a Product under which the Seller shall sell and the Buyer shall purchase a quantity of energy equal to the hourly quantity without Ancillary Services (as defined in the Tariff) that is or will be scheduled as a Scheduling Coordinator (“SC”) to SC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t>
      </w:r>
    </w:p>
    <w:p>
      <w:pPr>
        <w:pStyle w:val="BodyText2"/>
        <w:rPr>
          <w:rFonts w:ascii="Arial" w:hAnsi="Arial" w:cs="Arial"/>
          <w:sz w:val="20"/>
        </w:rPr>
      </w:pPr>
      <w:r>
        <w:rPr>
          <w:rFonts w:cs="Arial" w:ascii="Arial" w:hAnsi="Arial"/>
          <w:sz w:val="20"/>
        </w:rPr>
      </w:r>
    </w:p>
    <w:p>
      <w:pPr>
        <w:pStyle w:val="Heading"/>
        <w:jc w:val="both"/>
        <w:rPr>
          <w:b w:val="false"/>
          <w:sz w:val="22"/>
        </w:rPr>
      </w:pPr>
      <w:r>
        <w:rPr>
          <w:rFonts w:cs="Arial"/>
          <w:b w:val="false"/>
          <w:sz w:val="20"/>
        </w:rPr>
        <w:t>"CAISO Schedule Adjustment" means a schedule change implemented by the CAISO that is neither caused by, or within the control of, either Party and that results in the CAISO applying Ex Post Pricing to all or part of the Contract Quantity.</w:t>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Cs/>
          <w:sz w:val="22"/>
          <w:u w:val="single"/>
        </w:rPr>
      </w:pPr>
      <w:r>
        <w:rPr>
          <w:bCs/>
          <w:sz w:val="22"/>
          <w:u w:val="single"/>
        </w:rPr>
        <w:t xml:space="preserve">Explanation: </w:t>
      </w:r>
    </w:p>
    <w:p>
      <w:pPr>
        <w:pStyle w:val="Heading"/>
        <w:jc w:val="both"/>
        <w:rPr>
          <w:b w:val="false"/>
          <w:bCs/>
          <w:sz w:val="20"/>
          <w:u w:val="single"/>
        </w:rPr>
      </w:pPr>
      <w:r>
        <w:rPr>
          <w:b w:val="false"/>
          <w:bCs/>
          <w:sz w:val="20"/>
          <w:u w:val="single"/>
        </w:rPr>
      </w:r>
    </w:p>
    <w:p>
      <w:pPr>
        <w:pStyle w:val="Heading"/>
        <w:jc w:val="both"/>
        <w:rPr/>
      </w:pPr>
      <w:r>
        <w:rPr>
          <w:b w:val="false"/>
          <w:sz w:val="20"/>
        </w:rPr>
        <w:t xml:space="preserve">When a SC agrees to sell firm energy to another SC to be delivered at a Delivery Point in California such as “NP-15”, “SP-15” or “Z-26”, this type of energy is considered CAISO Firm Energy which should not be confused with “WSPP Schedule C” energy.  “WSPP Schedule C” energy is a product which is sold in the West, </w:t>
      </w:r>
      <w:r>
        <w:rPr>
          <w:rFonts w:cs="Arial"/>
          <w:b w:val="false"/>
          <w:sz w:val="20"/>
        </w:rPr>
        <w:t xml:space="preserve">excluding California, and includes Ancillary Services in the form of the WSCC’s required “operating reserves”. </w:t>
      </w:r>
      <w:r>
        <w:rPr>
          <w:rFonts w:cs="Arial"/>
          <w:b w:val="false"/>
          <w:color w:val="000000"/>
          <w:sz w:val="20"/>
          <w:szCs w:val="24"/>
        </w:rPr>
        <w:t xml:space="preserve">According to the </w:t>
      </w:r>
      <w:r>
        <w:rPr>
          <w:b w:val="false"/>
          <w:sz w:val="20"/>
        </w:rPr>
        <w:t>Tariff</w:t>
      </w:r>
      <w:r>
        <w:rPr>
          <w:rFonts w:cs="Arial"/>
          <w:b w:val="false"/>
          <w:color w:val="000000"/>
          <w:sz w:val="20"/>
          <w:szCs w:val="24"/>
        </w:rPr>
        <w:t>, when two</w:t>
      </w:r>
      <w:r>
        <w:rPr>
          <w:rFonts w:cs="Arial"/>
          <w:b w:val="false"/>
          <w:sz w:val="20"/>
        </w:rPr>
        <w:t xml:space="preserve"> </w:t>
      </w:r>
      <w:r>
        <w:rPr>
          <w:b w:val="false"/>
          <w:sz w:val="20"/>
        </w:rPr>
        <w:t xml:space="preserve">SC’s enter into a purchase and sale with each other through the ISO in California, the transaction is only for a sale of Energy and does not include Ancillary Services. The ISO itself provides the Ancillary Services which are ultimately billed to the consuming “load” (i.e. the end user). </w:t>
      </w:r>
    </w:p>
    <w:p>
      <w:pPr>
        <w:pStyle w:val="Heading"/>
        <w:jc w:val="both"/>
        <w:rPr>
          <w:b w:val="false"/>
          <w:sz w:val="20"/>
        </w:rPr>
      </w:pPr>
      <w:r>
        <w:rPr>
          <w:b w:val="false"/>
          <w:sz w:val="20"/>
        </w:rPr>
      </w:r>
    </w:p>
    <w:p>
      <w:pPr>
        <w:pStyle w:val="Heading"/>
        <w:jc w:val="both"/>
        <w:rPr>
          <w:b w:val="false"/>
          <w:sz w:val="20"/>
        </w:rPr>
      </w:pPr>
      <w:r>
        <w:rPr>
          <w:b w:val="false"/>
          <w:sz w:val="20"/>
        </w:rPr>
        <w:t>The price at which a Seller offers to sell energy to be delivered at a California Delivery Point is exclusive of Ancillary Services. If a Buyer expects a Seller to provide Ancillary Services for energy sold in California in addition to the Ancillary Services provided by the California ISO, Buyer must specify this at the time of entering into a transaction</w:t>
      </w:r>
      <w:r>
        <w:rPr>
          <w:rFonts w:cs="Arial"/>
          <w:b w:val="false"/>
          <w:sz w:val="20"/>
        </w:rPr>
        <w:t>. If a Buyer does not request such additional Ancillary Services, the product sold by a Seller will</w:t>
      </w:r>
      <w:r>
        <w:rPr>
          <w:rFonts w:cs="Arial"/>
          <w:b w:val="false"/>
          <w:color w:val="000000"/>
          <w:sz w:val="20"/>
          <w:szCs w:val="24"/>
        </w:rPr>
        <w:t xml:space="preserve"> not include them.</w:t>
      </w:r>
    </w:p>
    <w:p>
      <w:pPr>
        <w:pStyle w:val="Heading"/>
        <w:jc w:val="both"/>
        <w:rPr>
          <w:rFonts w:eastAsia="Arial"/>
          <w:b w:val="false"/>
          <w:sz w:val="20"/>
        </w:rPr>
      </w:pPr>
      <w:r>
        <w:rPr>
          <w:rFonts w:eastAsia="Arial"/>
          <w:b w:val="false"/>
          <w:sz w:val="20"/>
        </w:rPr>
        <w:t xml:space="preserve"> </w:t>
      </w:r>
    </w:p>
    <w:p>
      <w:pPr>
        <w:pStyle w:val="Heading"/>
        <w:jc w:val="both"/>
        <w:rPr>
          <w:b w:val="false"/>
          <w:sz w:val="20"/>
        </w:rPr>
      </w:pPr>
      <w:r>
        <w:rPr>
          <w:b w:val="false"/>
          <w:sz w:val="20"/>
        </w:rPr>
        <w:t>The idea that Ancillary Services are not imbedded in Energy sold through the California ISO is amply illustrated throughout the Tariff. For instance, in Appendix A, Volume 1 of the Tariff, the definition of “Transfer Schedule” refers only to a “Schedule for Energy that is delivered from one Scheduling Coordinator to another”. There is no mention of Ancillary Services flowing between the SC’s. In addition, the definitions of “Day-Ahead Market” and “Generator” (just to name a few) clearly refer to “Energy” and “Ancillary Services” as two separate and distinct products.</w:t>
      </w:r>
    </w:p>
    <w:p>
      <w:pPr>
        <w:pStyle w:val="Heading"/>
        <w:jc w:val="both"/>
        <w:rPr>
          <w:b w:val="false"/>
          <w:sz w:val="20"/>
        </w:rPr>
      </w:pPr>
      <w:r>
        <w:rPr>
          <w:b w:val="false"/>
          <w:sz w:val="20"/>
        </w:rPr>
      </w:r>
    </w:p>
    <w:p>
      <w:pPr>
        <w:pStyle w:val="Heading"/>
        <w:jc w:val="both"/>
        <w:rPr>
          <w:b w:val="false"/>
          <w:sz w:val="20"/>
        </w:rPr>
      </w:pPr>
      <w:r>
        <w:rPr>
          <w:b w:val="false"/>
          <w:sz w:val="20"/>
        </w:rPr>
        <w:t xml:space="preserve">Lastly, Ancillary Services are always invoiced separately from Energy. The SC’s pay each other only for Energy. The consuming Load is invoiced for Energy from its Seller and for Ancillary Services from the ISO.     </w:t>
      </w:r>
    </w:p>
    <w:p>
      <w:pPr>
        <w:pStyle w:val="Heading"/>
        <w:jc w:val="both"/>
        <w:rPr>
          <w:b w:val="false"/>
          <w:sz w:val="20"/>
        </w:rPr>
      </w:pPr>
      <w:r>
        <w:rPr>
          <w:b w:val="false"/>
          <w:sz w:val="20"/>
        </w:rPr>
      </w:r>
    </w:p>
    <w:p>
      <w:pPr>
        <w:pStyle w:val="Heading"/>
        <w:jc w:val="both"/>
        <w:rPr>
          <w:sz w:val="20"/>
        </w:rPr>
      </w:pPr>
      <w:r>
        <w:rPr>
          <w:sz w:val="20"/>
        </w:rPr>
      </w:r>
    </w:p>
    <w:p>
      <w:pPr>
        <w:pStyle w:val="Heading"/>
        <w:jc w:val="both"/>
        <w:rPr>
          <w:bCs/>
          <w:sz w:val="22"/>
          <w:u w:val="single"/>
        </w:rPr>
      </w:pPr>
      <w:r>
        <w:rPr>
          <w:bCs/>
          <w:sz w:val="22"/>
          <w:u w:val="single"/>
        </w:rPr>
        <w:t>Documentation:</w:t>
      </w:r>
    </w:p>
    <w:p>
      <w:pPr>
        <w:pStyle w:val="Heading"/>
        <w:jc w:val="both"/>
        <w:rPr>
          <w:b w:val="false"/>
          <w:bCs/>
          <w:sz w:val="20"/>
          <w:u w:val="single"/>
        </w:rPr>
      </w:pPr>
      <w:r>
        <w:rPr>
          <w:b w:val="false"/>
          <w:bCs/>
          <w:sz w:val="20"/>
          <w:u w:val="single"/>
        </w:rPr>
      </w:r>
    </w:p>
    <w:p>
      <w:pPr>
        <w:pStyle w:val="Heading"/>
        <w:jc w:val="both"/>
        <w:rPr>
          <w:b w:val="false"/>
          <w:sz w:val="20"/>
        </w:rPr>
      </w:pPr>
      <w:r>
        <w:rPr>
          <w:b w:val="false"/>
          <w:sz w:val="20"/>
        </w:rPr>
        <w:t>CAISO Firm Energy is a different product than “WSPP Schedule C” energy and it should be accurately referenced in any trade documentation such as a Confirmation.</w:t>
      </w:r>
    </w:p>
    <w:p>
      <w:pPr>
        <w:pStyle w:val="Heading"/>
        <w:jc w:val="both"/>
        <w:rPr>
          <w:b w:val="false"/>
          <w:sz w:val="20"/>
        </w:rPr>
      </w:pPr>
      <w:r>
        <w:rPr>
          <w:b w:val="false"/>
          <w:sz w:val="20"/>
        </w:rPr>
      </w:r>
    </w:p>
    <w:p>
      <w:pPr>
        <w:pStyle w:val="Heading"/>
        <w:jc w:val="both"/>
        <w:rPr>
          <w:b w:val="false"/>
          <w:sz w:val="20"/>
        </w:rPr>
      </w:pPr>
      <w:r>
        <w:rPr>
          <w:b w:val="false"/>
          <w:sz w:val="20"/>
        </w:rPr>
      </w:r>
    </w:p>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both"/>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s>
      <w:autoSpaceDE w:val="false"/>
      <w:spacing w:lineRule="atLeast" w:line="24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2000-08-01T20:04:00Z</dcterms:created>
  <dc:creator>ECT</dc:creator>
  <dc:description/>
  <dc:language>en-CA</dc:language>
  <cp:lastModifiedBy>sstack</cp:lastModifiedBy>
  <cp:lastPrinted>2000-08-07T15:47:00Z</cp:lastPrinted>
  <dcterms:modified xsi:type="dcterms:W3CDTF">2000-08-07T18:21:00Z</dcterms:modified>
  <cp:revision>6</cp:revision>
  <dc:subject/>
  <dc:title> </dc:title>
</cp:coreProperties>
</file>