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380" w:type="dxa"/>
        <w:jc w:val="start"/>
        <w:tblInd w:w="1278" w:type="dxa"/>
        <w:tblLayout w:type="fixed"/>
        <w:tblCellMar>
          <w:top w:w="0" w:type="dxa"/>
          <w:start w:w="108" w:type="dxa"/>
          <w:bottom w:w="0" w:type="dxa"/>
          <w:end w:w="108" w:type="dxa"/>
        </w:tblCellMar>
      </w:tblPr>
      <w:tblGrid>
        <w:gridCol w:w="7380"/>
      </w:tblGrid>
      <w:tr>
        <w:trPr/>
        <w:tc>
          <w:tcPr>
            <w:tcW w:w="7380" w:type="dxa"/>
            <w:tcBorders>
              <w:top w:val="single" w:sz="12" w:space="0" w:color="000000"/>
              <w:start w:val="single" w:sz="12" w:space="0" w:color="000000"/>
              <w:bottom w:val="single" w:sz="12" w:space="0" w:color="000000"/>
              <w:end w:val="single" w:sz="12" w:space="0" w:color="000000"/>
            </w:tcBorders>
          </w:tcPr>
          <w:p>
            <w:pPr>
              <w:pStyle w:val="BodyText"/>
              <w:snapToGrid w:val="false"/>
              <w:spacing w:before="0" w:after="0"/>
              <w:jc w:val="center"/>
              <w:rPr>
                <w:b/>
                <w:sz w:val="40"/>
              </w:rPr>
            </w:pPr>
            <w:r>
              <w:rPr>
                <w:b/>
                <w:sz w:val="40"/>
              </w:rPr>
            </w:r>
          </w:p>
          <w:p>
            <w:pPr>
              <w:pStyle w:val="BodyText"/>
              <w:spacing w:before="0" w:after="0"/>
              <w:jc w:val="center"/>
              <w:rPr>
                <w:b/>
                <w:sz w:val="40"/>
              </w:rPr>
            </w:pPr>
            <w:r>
              <w:rPr>
                <w:b/>
                <w:sz w:val="40"/>
              </w:rPr>
              <w:t xml:space="preserve">Comments Submitted on Behalf of Enron </w:t>
            </w:r>
          </w:p>
          <w:p>
            <w:pPr>
              <w:pStyle w:val="BodyText"/>
              <w:spacing w:before="0" w:after="0"/>
              <w:jc w:val="center"/>
              <w:rPr>
                <w:b/>
                <w:sz w:val="40"/>
              </w:rPr>
            </w:pPr>
            <w:r>
              <w:rPr>
                <w:b/>
                <w:sz w:val="40"/>
              </w:rPr>
              <w:t>by Carl Imparato, July 28, 2000</w:t>
            </w:r>
          </w:p>
          <w:p>
            <w:pPr>
              <w:pStyle w:val="BodyText"/>
              <w:spacing w:before="0" w:after="0"/>
              <w:jc w:val="center"/>
              <w:rPr>
                <w:b/>
                <w:sz w:val="40"/>
              </w:rPr>
            </w:pPr>
            <w:r>
              <w:rPr>
                <w:b/>
                <w:sz w:val="40"/>
              </w:rPr>
            </w:r>
          </w:p>
        </w:tc>
      </w:tr>
    </w:tbl>
    <w:p>
      <w:pPr>
        <w:pStyle w:val="Heading"/>
        <w:jc w:val="center"/>
        <w:rPr>
          <w:rFonts w:ascii="Arial" w:hAnsi="Arial" w:cs="Arial"/>
        </w:rPr>
      </w:pPr>
      <w:r>
        <w:rPr>
          <w:rFonts w:cs="Arial" w:ascii="Arial" w:hAnsi="Arial"/>
        </w:rPr>
        <w:t>Congestion Management Reform - July 11, 2000 Proposal</w:t>
      </w:r>
    </w:p>
    <w:p>
      <w:pPr>
        <w:pStyle w:val="Heading1"/>
        <w:rPr/>
      </w:pPr>
      <w:r>
        <w:rPr/>
        <w:t>Overall Comments</w:t>
      </w:r>
    </w:p>
    <w:p>
      <w:pPr>
        <w:pStyle w:val="ListNumber"/>
        <w:numPr>
          <w:ilvl w:val="0"/>
          <w:numId w:val="2"/>
        </w:numPr>
        <w:ind w:hanging="360" w:start="360" w:end="720"/>
        <w:rPr/>
      </w:pPr>
      <w:r>
        <w:rPr/>
        <w:t>Which fundamental market design features and principles identified in the proposal should be kept?  Why?</w:t>
      </w:r>
    </w:p>
    <w:p>
      <w:pPr>
        <w:pStyle w:val="ListNumber"/>
        <w:numPr>
          <w:ilvl w:val="0"/>
          <w:numId w:val="0"/>
        </w:numPr>
        <w:ind w:hanging="0" w:start="360" w:end="720"/>
        <w:rPr/>
      </w:pPr>
      <w:r>
        <w:rPr/>
        <w:t>We strongly support most of the features of the CMR proposal.  They are reasonable and reinforce the ISO’s commitment to California’s decentralized market model.  In many cases, the CMR proposal corrects design flaws that have been the basis for controversy since ISO start-up.  In some cases, the CMR proposal does not go far enough towards solving the problems (for example, with continued reliance on a “CONG” program rather than the complete removal of the ISO from the forward transmission and ancillary services markets).  Finally, there are many important implementation details that could either support or undermine the basic market design features and principles in the CMR proposal, and we reserve judgment on those details.  But overall, the proposal is very sound and Enron appreciates the ISO’s commitment to the basics of the California market design, as well as the stakeholder process through which the CMR proposal was developed.</w:t>
      </w:r>
    </w:p>
    <w:p>
      <w:pPr>
        <w:pStyle w:val="ListNumber"/>
        <w:numPr>
          <w:ilvl w:val="0"/>
          <w:numId w:val="3"/>
        </w:numPr>
        <w:tabs>
          <w:tab w:val="left" w:pos="720" w:leader="none"/>
        </w:tabs>
        <w:ind w:hanging="360" w:start="720" w:end="720"/>
        <w:rPr/>
      </w:pPr>
      <w:r>
        <w:rPr/>
        <w:t>We strongly support the basic zonal/flowgate model that underlies the entire proposal.  This market design feature is extremely important.  It embodies the very important distinction that needs to be made between the operational model seen by dispatchers and the commercial model that allows market participants to do business and to manage congestion.  Without this market design feature - for example, if the so-called “voluntary nodal” feature had been part of the proposal -  market participants would not be able to effectively manage congestion and the entire model would de facto devolve into PJM-style centralized management of the market and nodal pricing.</w:t>
      </w:r>
    </w:p>
    <w:p>
      <w:pPr>
        <w:pStyle w:val="ListNumber"/>
        <w:numPr>
          <w:ilvl w:val="0"/>
          <w:numId w:val="3"/>
        </w:numPr>
        <w:tabs>
          <w:tab w:val="left" w:pos="720" w:leader="none"/>
        </w:tabs>
        <w:ind w:hanging="360" w:start="720" w:end="720"/>
        <w:rPr/>
      </w:pPr>
      <w:r>
        <w:rPr/>
        <w:t>The decentralized market model for is also fundamental to preserving the basic objective of market restructuring: efficient management of scarce transmission resources by the marketplace.  We strongly support the ISO’s preservation of the market separation rule and the ISO’s rejection of some parties’ proposals that the ISO take on a role as an energy broker by so-called “voluntary” elimination of the market separation rule.  Elimination of the rule would have placed the ISO into the role of competing with the marketplace, and an ISO that competes with its customers would have all the wrong incentives to listen to customers and to work to improve the operation of the marketplace.</w:t>
      </w:r>
    </w:p>
    <w:p>
      <w:pPr>
        <w:pStyle w:val="ListNumber"/>
        <w:numPr>
          <w:ilvl w:val="0"/>
          <w:numId w:val="3"/>
        </w:numPr>
        <w:tabs>
          <w:tab w:val="left" w:pos="720" w:leader="none"/>
        </w:tabs>
        <w:ind w:hanging="360" w:start="720" w:end="720"/>
        <w:rPr/>
      </w:pPr>
      <w:r>
        <w:rPr/>
        <w:t>The use of the simplified zonal commercial model - in both the forward and real-time markets - is a very important improvement to the status quo.  It will provide the transparency and the flexibility to enable market participants to do their jobs of effectively managing scarcity in a decentralized marketplace. We strongly support this, but we also note that the CMR proposal is silent on the matter of release of the model and underlying data (transmission parameters, transfer limits, generation shift factors (GSFs), etc.) to the market participants.  On the latter point, we would like the ISO to clarify that the model and supporting data will be released to the marketplace, since without this information, many of the benefits of transparency will be lost..</w:t>
      </w:r>
    </w:p>
    <w:p>
      <w:pPr>
        <w:pStyle w:val="ListNumber"/>
        <w:numPr>
          <w:ilvl w:val="0"/>
          <w:numId w:val="3"/>
        </w:numPr>
        <w:tabs>
          <w:tab w:val="left" w:pos="720" w:leader="none"/>
        </w:tabs>
        <w:ind w:hanging="360" w:start="720" w:end="720"/>
        <w:rPr/>
      </w:pPr>
      <w:r>
        <w:rPr/>
        <w:t>We strongly support the CMR’s proposal to for 100% FTR release and to enable FTRs to be used for scheduling of capacity as well as energy.  Subject to resolving the more-detailed questions regarding how stable the FTRs will be (i.e., how often the GSFs will be updated) and how firm the FTRs will truly be (I.e., the proposal to subordinate FTRs to all ETCs, even those ETCs that are conditionally firm, is unsupportable), the CMR’s proposal on FTRs will enable the marketplace to finally have a transmission product that can be useful and can be traded in secondary markets.</w:t>
      </w:r>
    </w:p>
    <w:p>
      <w:pPr>
        <w:pStyle w:val="ListNumber"/>
        <w:numPr>
          <w:ilvl w:val="0"/>
          <w:numId w:val="3"/>
        </w:numPr>
        <w:tabs>
          <w:tab w:val="left" w:pos="720" w:leader="none"/>
        </w:tabs>
        <w:ind w:hanging="360" w:start="720" w:end="720"/>
        <w:rPr/>
      </w:pPr>
      <w:r>
        <w:rPr/>
        <w:t xml:space="preserve">The Recalled Transmission Rights (RTR) feature is a worthwhile improvement and will lead to more efficient use of the grid, although we note that: (i) the implementation proposed in the CMR proposal is inferior to that proposed in the Mountain West ISA tariff; and (ii) the CONG-based implementation of RTRs - if it compromises the market separation rule - would make the RTR proposal unacceptable. </w:t>
      </w:r>
    </w:p>
    <w:p>
      <w:pPr>
        <w:pStyle w:val="ListNumber"/>
        <w:numPr>
          <w:ilvl w:val="0"/>
          <w:numId w:val="3"/>
        </w:numPr>
        <w:tabs>
          <w:tab w:val="left" w:pos="720" w:leader="none"/>
        </w:tabs>
        <w:ind w:hanging="360" w:start="720" w:end="720"/>
        <w:rPr/>
      </w:pPr>
      <w:r>
        <w:rPr/>
        <w:t>We strongly support the ISO’s proposed mechanism for allowing the scheduling of ancillary services capacity through the use of FTRs and the rejection of proposals to integrate ASM and CONG (which would result in a complete rebundling of the energy, transmission and ancillary services market into a non-transparent, mega-black box model).  The CMR proposal very appropriately gives the market participants the mechanisms to deal with integration of ancillary services and transmission rights.</w:t>
      </w:r>
    </w:p>
    <w:p>
      <w:pPr>
        <w:pStyle w:val="ListNumber"/>
        <w:numPr>
          <w:ilvl w:val="0"/>
          <w:numId w:val="3"/>
        </w:numPr>
        <w:tabs>
          <w:tab w:val="left" w:pos="720" w:leader="none"/>
        </w:tabs>
        <w:ind w:hanging="360" w:start="720" w:end="720"/>
        <w:rPr/>
      </w:pPr>
      <w:r>
        <w:rPr/>
        <w:t>We support the use of the short-term LRS capacity procurement auction concept as an alternative to the longer-run RMR approach, but with the following caveats: (i) the bid caps used must be reasonable (this remains an unresolved issue in the CMR proposal); (ii) the LRS requirements should not be imposed on new generation and new DSM (because neither of these contributes to the present LRA problems but could only alleviate such problems - so they should not be subject to measures which are used to mitigate present LRA problems); (iii) the ISO should consider a minor variation to the proposal under which SCs- rather than the ISO - would be obligated to obtain and schedule LRA resources through the use of ISO-mandated recourse contracts (this would ensure that the ISO’s role in the marketplace was minimized, would give more flexibility to the marketplace, and would ensure that the value of FTRs into LRAs was not compromised); and  (iv) the mechanisms for determining how the minimum energy and minimum capacity requirements need to be defined more clearly (there is potential for the ISO to abuse the entire LRA proposal is this is not done properly).  As part of the LRS proposal, we strongly support the allocation of forward market LRS procurement costs to the SCs serving load in the zone (where load is calculated net of that served through imports), since this is necessary to avoid undermining the value of FTRs in the LRA.</w:t>
      </w:r>
    </w:p>
    <w:p>
      <w:pPr>
        <w:pStyle w:val="ListNumber"/>
        <w:numPr>
          <w:ilvl w:val="0"/>
          <w:numId w:val="0"/>
        </w:numPr>
        <w:ind w:hanging="0" w:start="360" w:end="720"/>
        <w:rPr/>
      </w:pPr>
      <w:r>
        <w:rPr>
          <w:b/>
        </w:rPr>
        <w:t>2</w:t>
      </w:r>
      <w:r>
        <w:rPr/>
        <w:t>.</w:t>
        <w:tab/>
        <w:t>Which fundamental market design features and principles identified in the proposal should be removed?  Why?</w:t>
      </w:r>
    </w:p>
    <w:p>
      <w:pPr>
        <w:pStyle w:val="ListNumber"/>
        <w:numPr>
          <w:ilvl w:val="0"/>
          <w:numId w:val="0"/>
        </w:numPr>
        <w:ind w:hanging="0" w:start="360" w:end="720"/>
        <w:rPr/>
      </w:pPr>
      <w:r>
        <w:rPr/>
        <w:t>As should be clear from the response below and the response to the previous question, most of the features and principles identified in the CMR are acceptable.  Our concerns relate primarily to some of the alternatives that the ISO states are still under consideration and to implementation details, rather than to the fundamentals of the CMR proposal.</w:t>
      </w:r>
    </w:p>
    <w:p>
      <w:pPr>
        <w:pStyle w:val="ListNumber"/>
        <w:numPr>
          <w:ilvl w:val="0"/>
          <w:numId w:val="4"/>
        </w:numPr>
        <w:tabs>
          <w:tab w:val="left" w:pos="720" w:leader="none"/>
        </w:tabs>
        <w:ind w:hanging="360" w:start="720" w:end="720"/>
        <w:rPr/>
      </w:pPr>
      <w:r>
        <w:rPr/>
        <w:t>The CMR proposal states that the ISO is still considering “voluntary” relaxation of the market separation rule.  We strongly oppose this, as any compromise of the market separation rule would undermine the commercial marketplace and put the ISO into the position of an energy broker, in competition with its customers.</w:t>
      </w:r>
    </w:p>
    <w:p>
      <w:pPr>
        <w:pStyle w:val="ListNumber"/>
        <w:numPr>
          <w:ilvl w:val="0"/>
          <w:numId w:val="4"/>
        </w:numPr>
        <w:tabs>
          <w:tab w:val="left" w:pos="720" w:leader="none"/>
        </w:tabs>
        <w:ind w:hanging="360" w:start="720" w:end="720"/>
        <w:rPr/>
      </w:pPr>
      <w:r>
        <w:rPr/>
        <w:t xml:space="preserve">We disagree with the proposal for the ISO to continue to use the 3000-bus model for calculating nodal prices, even if only for “analysis”.  We continue to believe that the outputs of such a model are </w:t>
      </w:r>
      <w:r>
        <w:rPr>
          <w:u w:val="single"/>
        </w:rPr>
        <w:t>not</w:t>
      </w:r>
      <w:r>
        <w:rPr/>
        <w:t xml:space="preserve"> valid indicators of local energy prices and therefore the use of such a model and its outputs can only lead to future conflicts in which the ISO would falsely contend (on the basis of model outputs) that market inefficiencies exist.  Note that we are not arguing that the ISO has no role in monitoring the market; rather, we contend that the ISO’s reliance upon an inappropriate tool would create the serious potential for abuse.</w:t>
      </w:r>
    </w:p>
    <w:p>
      <w:pPr>
        <w:pStyle w:val="ListNumber"/>
        <w:numPr>
          <w:ilvl w:val="0"/>
          <w:numId w:val="4"/>
        </w:numPr>
        <w:tabs>
          <w:tab w:val="left" w:pos="720" w:leader="none"/>
        </w:tabs>
        <w:ind w:hanging="360" w:start="720" w:end="720"/>
        <w:rPr/>
      </w:pPr>
      <w:r>
        <w:rPr/>
        <w:t>The CMR proposal is not clear on the matter, but in places it hints at a departure from the  5% threshold for determining commercially-significant transmission interfaces.  We would oppose such a departure at this time, since there has been no demonstration that the 5% criterion has created any problems whatsoever.  In fact, had the 5% criterion actually been used over the past two years, as intended in the original market design, we would have seen the creation of basically the same set of zones that the ISO is now proposing to create.</w:t>
      </w:r>
    </w:p>
    <w:p>
      <w:pPr>
        <w:pStyle w:val="ListNumber"/>
        <w:numPr>
          <w:ilvl w:val="0"/>
          <w:numId w:val="4"/>
        </w:numPr>
        <w:tabs>
          <w:tab w:val="left" w:pos="720" w:leader="none"/>
        </w:tabs>
        <w:ind w:hanging="360" w:start="720" w:end="720"/>
        <w:rPr/>
      </w:pPr>
      <w:r>
        <w:rPr/>
        <w:t>The proposed schedule for FTR releases (with 50% held back to monthly releases and no shorter-term releases of additional capacity) is not a good idea, as it would unnecessarily hold back FTRs from the marketplace.  It would be far preferable to release everything that can be released longer-term (annually), with releases of residual FTRs on a monthly, weekly and daily basis.  On a similar note, the proposals for “frequent updates” of GSFs (pages 40 and 54), for limited honoring of FTRs (pages 41 and 42), and for subordinating FTRs to lower-quality ETCs (page 52) would harm everything that the ISO and market participants are trying to achieve through the use of FTRs and should therefore be rejected.</w:t>
      </w:r>
    </w:p>
    <w:p>
      <w:pPr>
        <w:pStyle w:val="ListNumber"/>
        <w:numPr>
          <w:ilvl w:val="0"/>
          <w:numId w:val="4"/>
        </w:numPr>
        <w:tabs>
          <w:tab w:val="left" w:pos="720" w:leader="none"/>
        </w:tabs>
        <w:ind w:hanging="360" w:start="720" w:end="720"/>
        <w:rPr/>
      </w:pPr>
      <w:r>
        <w:rPr/>
        <w:t xml:space="preserve">In the area of real-time pricing, we strongly oppose the proposal to use the ISO’s complex and non-transparent “10-Minute Dispatch and Settlement” approach.  This approach would result in the creation of multiple real-time prices and new gaming, rather than a single real-time price for </w:t>
      </w:r>
      <w:r>
        <w:rPr>
          <w:i/>
        </w:rPr>
        <w:t>all</w:t>
      </w:r>
      <w:r>
        <w:rPr/>
        <w:t xml:space="preserve"> imbalance energy, and would undermine the fundamental objectives of a real-time spot price and a liquid market for real-time energy.</w:t>
      </w:r>
    </w:p>
    <w:p>
      <w:pPr>
        <w:pStyle w:val="ListNumber"/>
        <w:numPr>
          <w:ilvl w:val="0"/>
          <w:numId w:val="4"/>
        </w:numPr>
        <w:tabs>
          <w:tab w:val="left" w:pos="720" w:leader="none"/>
        </w:tabs>
        <w:ind w:hanging="360" w:start="720" w:end="720"/>
        <w:rPr/>
      </w:pPr>
      <w:r>
        <w:rPr/>
        <w:t xml:space="preserve">In the LRS area, we strongly oppose the use of Option 3 for LRS procurement if its implementation would require the elimination of the market separation rule. We are also very concerned with many aspects of the bid cap proposals, but since these have not been fully-defined, we reserve judgment.  The ISO’s trial balloon regarding “system-wide Availability Standards” that would apply when system load exceed 38,000 MW should be shot down.  Imposing such a requirement on market participants is unjustifiable and would be tantamount to a taking of the parties’ property.  </w:t>
      </w:r>
    </w:p>
    <w:p>
      <w:pPr>
        <w:pStyle w:val="Heading1"/>
        <w:rPr/>
      </w:pPr>
      <w:r>
        <w:rPr/>
        <w:t>Detailed Comments</w:t>
      </w:r>
    </w:p>
    <w:p>
      <w:pPr>
        <w:pStyle w:val="Heading2"/>
        <w:tabs>
          <w:tab w:val="clear" w:pos="720"/>
          <w:tab w:val="right" w:pos="9360" w:leader="none"/>
        </w:tabs>
        <w:spacing w:before="140" w:after="120"/>
        <w:ind w:hanging="0" w:start="0" w:end="0"/>
        <w:rPr/>
      </w:pPr>
      <w:r>
        <w:rPr>
          <w:u w:val="single"/>
        </w:rPr>
        <w:t>Section Number and Topic</w:t>
      </w:r>
      <w:r>
        <w:rPr/>
        <w:tab/>
      </w:r>
      <w:r>
        <w:rPr>
          <w:u w:val="single"/>
        </w:rPr>
        <w:t>Page Reference in Proposal</w:t>
      </w:r>
    </w:p>
    <w:sdt>
      <w:sdtPr>
        <w:docPartObj>
          <w:docPartGallery w:val="Table of Contents"/>
          <w:docPartUnique w:val="true"/>
        </w:docPartObj>
      </w:sdtPr>
      <w:sdtContent>
        <w:p>
          <w:pPr>
            <w:pStyle w:val="TOC1"/>
            <w:rPr/>
          </w:pPr>
          <w:r>
            <w:fldChar w:fldCharType="begin"/>
          </w:r>
          <w:r>
            <w:rPr/>
            <w:instrText xml:space="preserve"> TOC \o "1-3" </w:instrText>
          </w:r>
          <w:r>
            <w:rPr/>
            <w:fldChar w:fldCharType="separate"/>
          </w:r>
          <w:r>
            <w:rPr/>
            <w:t>1.</w:t>
            <w:tab/>
            <w:t>INTRODUCTION</w:t>
            <w:tab/>
            <w:t>1</w:t>
          </w:r>
        </w:p>
        <w:p>
          <w:pPr>
            <w:pStyle w:val="TOC1"/>
            <w:rPr/>
          </w:pPr>
          <w:r>
            <w:rPr/>
            <w:t xml:space="preserve">2. </w:t>
            <w:tab/>
            <w:t>THE CONGESTION MANAGEMENT REFORM PROCESS</w:t>
            <w:tab/>
            <w:t>3</w:t>
          </w:r>
        </w:p>
        <w:p>
          <w:pPr>
            <w:pStyle w:val="BodyText"/>
            <w:ind w:start="288" w:end="0"/>
            <w:jc w:val="start"/>
            <w:rPr/>
          </w:pPr>
          <w:r>
            <w:rPr/>
            <w:t xml:space="preserve">General Comments: </w:t>
          </w:r>
        </w:p>
        <w:p>
          <w:pPr>
            <w:pStyle w:val="BodyText"/>
            <w:ind w:start="288" w:end="0"/>
            <w:jc w:val="start"/>
            <w:rPr/>
          </w:pPr>
          <w:r>
            <w:rPr/>
            <w:t xml:space="preserve">The ISO has made a very good faith attempt to solicit and address stakeholder input and deserves to be commended.  The ISO staff has been very patient  and open-minded throughout the process.  </w:t>
          </w:r>
        </w:p>
        <w:p>
          <w:pPr>
            <w:pStyle w:val="BodyText"/>
            <w:ind w:start="288" w:end="0"/>
            <w:jc w:val="start"/>
            <w:rPr/>
          </w:pPr>
          <w:r>
            <w:rPr/>
            <w:t xml:space="preserve">What is unfortunate is that 90% of the time thus far has focused on  those areas of the ISO's congestion management program which are not even broken (zonal model, market separation, criteria for creation of commercially-significant interfaces…), and almost no time has been spent on the "64  billion dollar question": how to address locational market power and how to compensate resources with locational market power in a way that is fair to the resource owners, does not result in exorbitant payments, and sends good long-term price signals for expansion of generation capacity, transmission, or DSM.  </w:t>
          </w:r>
        </w:p>
        <w:p>
          <w:pPr>
            <w:pStyle w:val="BodyText"/>
            <w:ind w:start="288" w:end="0"/>
            <w:jc w:val="start"/>
            <w:rPr/>
          </w:pPr>
          <w:r>
            <w:rPr/>
            <w:t>We urge the ISO to "put to rest" the issues of basic market structure by adopting, for once and for all, the market structure proposals in the CMR document and to allow us all to move on to the implementation details and to the question of appropriate bid caps!</w:t>
          </w:r>
        </w:p>
        <w:p>
          <w:pPr>
            <w:pStyle w:val="TOC1"/>
            <w:rPr/>
          </w:pPr>
          <w:r>
            <w:rPr/>
            <w:t>3.</w:t>
            <w:tab/>
            <w:t>CONGESTION MANAGEMENT REFORM: BACKGROUND AND MOTIVATION</w:t>
            <w:tab/>
            <w:t>6</w:t>
          </w:r>
        </w:p>
        <w:p>
          <w:pPr>
            <w:pStyle w:val="BodyText"/>
            <w:ind w:start="288" w:end="0"/>
            <w:jc w:val="start"/>
            <w:rPr/>
          </w:pPr>
          <w:r>
            <w:rPr/>
            <w:t xml:space="preserve">General Comments: </w:t>
          </w:r>
        </w:p>
        <w:p>
          <w:pPr>
            <w:pStyle w:val="BodyText"/>
            <w:ind w:start="288" w:end="0"/>
            <w:jc w:val="start"/>
            <w:rPr/>
          </w:pPr>
          <w:r>
            <w:rPr/>
            <w:t xml:space="preserve">We disagree somewhat with the ISO's representation of the "deficiencies" in the current system.  Many of those deficiencies are the result of the ISO's not having even implemented the market structure that was defined by the ISO's original tariff filing (forward market intra-zonal congestion management; the creation of new zones through the 5% criterion; and the use of a single real-time price for settling all energy transactions.  </w:t>
          </w:r>
        </w:p>
        <w:p>
          <w:pPr>
            <w:pStyle w:val="BodyText"/>
            <w:ind w:start="288" w:end="0"/>
            <w:jc w:val="start"/>
            <w:rPr/>
          </w:pPr>
          <w:r>
            <w:rPr/>
            <w:t xml:space="preserve">We also disagree with the characterization (on page 11) of FERC's response to Amendment 19. The characterization seems to imply that the NGIP was fundamentally flawed, when in fact, the FERC's criticism focused on a single small aspect of the NGIP that was tied to the locational market power questions which the CMR proposal will address. </w:t>
          </w:r>
        </w:p>
        <w:p>
          <w:pPr>
            <w:pStyle w:val="BodyText"/>
            <w:ind w:start="288" w:end="0"/>
            <w:jc w:val="start"/>
            <w:rPr/>
          </w:pPr>
          <w:r>
            <w:rPr/>
            <w:t>We disagree with the contention (on page 13) that FERC believes that the ISO should consummate trades between SCs - i.e., that the FERC has stated, as a matter of Commission policy, that the ISO should become a broker for energy trades when alternative mechanisms for such brokering exist in the competitive marketplace.</w:t>
          </w:r>
        </w:p>
        <w:p>
          <w:pPr>
            <w:pStyle w:val="TOC1"/>
            <w:rPr/>
          </w:pPr>
          <w:r>
            <w:rPr/>
            <w:t>4.</w:t>
            <w:tab/>
            <w:t>CONGESTION MANAGEMENT REFORM DESIGN FRAMEWORK AND CRITERIA</w:t>
            <w:tab/>
            <w:t>14</w:t>
          </w:r>
        </w:p>
        <w:p>
          <w:pPr>
            <w:pStyle w:val="BodyText"/>
            <w:ind w:start="288" w:end="0"/>
            <w:jc w:val="start"/>
            <w:rPr/>
          </w:pPr>
          <w:r>
            <w:rPr/>
            <w:t xml:space="preserve">Features that should be kept; Why: </w:t>
          </w:r>
        </w:p>
        <w:p>
          <w:pPr>
            <w:pStyle w:val="BodyText"/>
            <w:ind w:start="288" w:end="0"/>
            <w:jc w:val="start"/>
            <w:rPr/>
          </w:pPr>
          <w:r>
            <w:rPr/>
            <w:t>The basics of the design framework - reliance on market mechanisms rather than centralized control - are solid.  Thus, the features that support that framework - the zonal flowgate model, the market separation rule, the simplified commercial model, the improved FTR model, the RTR model (with some changes), the decentralized procurement of ancillary services, and the LRS model (with changes to require the acquisition of LRS resources by market participants rather than the ISO) - should all be retained in the CMR proposal.  See the response to Question 1 for details.</w:t>
          </w:r>
        </w:p>
        <w:p>
          <w:pPr>
            <w:pStyle w:val="BodyText"/>
            <w:ind w:start="288" w:end="0"/>
            <w:jc w:val="start"/>
            <w:rPr/>
          </w:pPr>
          <w:r>
            <w:rPr/>
            <w:t xml:space="preserve">Features that should be removed or modified; Why and how: </w:t>
          </w:r>
        </w:p>
        <w:p>
          <w:pPr>
            <w:pStyle w:val="BodyText"/>
            <w:ind w:start="288" w:end="0"/>
            <w:jc w:val="start"/>
            <w:rPr/>
          </w:pPr>
          <w:r>
            <w:rPr/>
            <w:t xml:space="preserve">Any contemplation of mechanisms that would undermine the basic design framework should not be a part of the CMR proposal.  These include the “voluntary” relaxation of the market separation rule, "voluntary" nodal pricing, the use of the 3000-bus model for </w:t>
          </w:r>
          <w:r>
            <w:rPr>
              <w:i/>
            </w:rPr>
            <w:t xml:space="preserve">any </w:t>
          </w:r>
          <w:r>
            <w:rPr/>
            <w:t>pricing purposes (even for “analysis”), any departure from the  5% threshold for determining commercially-significant transmission interfaces, limitations on FTR releases or FTR firmness, and real-time pricing which results in more than one real-time price. See the response to Question 2 for details.</w:t>
          </w:r>
        </w:p>
        <w:p>
          <w:pPr>
            <w:pStyle w:val="BodyText"/>
            <w:ind w:start="288" w:end="0"/>
            <w:jc w:val="start"/>
            <w:rPr/>
          </w:pPr>
          <w:r>
            <w:rPr/>
            <w:t xml:space="preserve">Features that should be added; Why and how: </w:t>
          </w:r>
        </w:p>
        <w:p>
          <w:pPr>
            <w:pStyle w:val="BodyText"/>
            <w:ind w:start="288" w:end="0"/>
            <w:jc w:val="start"/>
            <w:rPr/>
          </w:pPr>
          <w:r>
            <w:rPr/>
            <w:t>The major flaw that remains in the design framework is that the CMR proposal continues to leave the ISO in the position of interfering with the marketplace by allowing the ISO to act as a energy broker through the use of its CONG program and the use of its internal Ancillary Services procurement processes.  The entire market structure would be cleaner and many problems would be resolved by the marketplace if the ISO would simply "get out of the way" rather than act as a player in the marketplace .  The CMR proposal would be much stronger if it adopted the simple principles that SCs require FTRs to schedule (i.e., a full physical rights model) and that SCs self-provide their Ancillary Services requirements.  The ISO would not procure transmission for FTRs through CONG, nor would it operate a complex internal-to-the-ISO ancillary services procurement process (ASM).</w:t>
          </w:r>
        </w:p>
        <w:p>
          <w:pPr>
            <w:pStyle w:val="BodyText"/>
            <w:ind w:start="288" w:end="0"/>
            <w:jc w:val="start"/>
            <w:rPr/>
          </w:pPr>
          <w:r>
            <w:rPr/>
            <w:t xml:space="preserve">If the ISO relinquished its role as a participant in the marketplace, then it could focus its attention on whether or not the marketplace was working adequately, rather than on how the ISO should behave as a market participant.  </w:t>
          </w:r>
        </w:p>
        <w:p>
          <w:pPr>
            <w:pStyle w:val="BodyText"/>
            <w:ind w:start="288" w:end="0"/>
            <w:jc w:val="start"/>
            <w:rPr/>
          </w:pPr>
          <w:r>
            <w:rPr/>
            <w:t xml:space="preserve">Specifically, the important missing feature of the "Design Framework" is that the ISO's role should be that of market monitor, not that of market facilitator (i.e., a broker on the behalf of market participants).  In other markets (commodities, stocks, even retail products such as gasoline) the government's role is to put bounds on the behavior of market participants; it does not come into the market on behalf of market participants (and in the few cases in which it has, the results have been disastrous).  Similarly, the ISO should provide data to allow the FERC and other government agencies to put bounds on the behavior of market participants. But the ISO should not be in the market on behalf of market participants.  If a clear statement of this "missing design principle" was articulated in the CMR proposal, and if ISO redesign followed such a principle (i.e., eliminate CONG, require that SCs acquire FTRs and LRA energy/capacity in order to schedule, required that SCs self-procure their ancillary services), the entire California market design would become consistent and many problems would be eliminated.     </w:t>
          </w:r>
        </w:p>
        <w:p>
          <w:pPr>
            <w:pStyle w:val="TOC2"/>
            <w:rPr/>
          </w:pPr>
          <w:r>
            <w:rPr/>
            <w:t xml:space="preserve">4.1 </w:t>
            <w:tab/>
            <w:t>Design Framework</w:t>
            <w:tab/>
            <w:t>15</w:t>
          </w:r>
        </w:p>
        <w:p>
          <w:pPr>
            <w:pStyle w:val="BodyText"/>
            <w:ind w:start="288" w:end="0"/>
            <w:jc w:val="start"/>
            <w:rPr/>
          </w:pPr>
          <w:r>
            <w:rPr/>
            <w:t xml:space="preserve">Features that should be kept; Why: </w:t>
          </w:r>
        </w:p>
        <w:p>
          <w:pPr>
            <w:pStyle w:val="BodyText"/>
            <w:ind w:start="288" w:end="0"/>
            <w:jc w:val="start"/>
            <w:rPr/>
          </w:pPr>
          <w:r>
            <w:rPr/>
            <w:t xml:space="preserve">Features that should be removed or modified; Why and how: </w:t>
          </w:r>
        </w:p>
        <w:p>
          <w:pPr>
            <w:pStyle w:val="BodyText"/>
            <w:ind w:start="288" w:end="0"/>
            <w:jc w:val="start"/>
            <w:rPr/>
          </w:pPr>
          <w:r>
            <w:rPr/>
            <w:t>See below.</w:t>
          </w:r>
        </w:p>
        <w:p>
          <w:pPr>
            <w:pStyle w:val="BodyText"/>
            <w:ind w:start="288" w:end="0"/>
            <w:jc w:val="start"/>
            <w:rPr/>
          </w:pPr>
          <w:r>
            <w:rPr/>
            <w:t xml:space="preserve">Features that should be added; Why and how: </w:t>
          </w:r>
        </w:p>
        <w:p>
          <w:pPr>
            <w:pStyle w:val="BodyText"/>
            <w:ind w:start="288" w:end="0"/>
            <w:jc w:val="start"/>
            <w:rPr/>
          </w:pPr>
          <w:r>
            <w:rPr/>
            <w:t xml:space="preserve">The "principles" that the ISO's CM procedures should "manage and price all scarce transmission resources… from forward scheduling … to real-time operations" and "ensure accurate locational pricing in the imbalance energy market when congestion occurs in real-time"  could be misinterpreted to imply that the ISO should conduct nodal pricing in real-time and forward markets. This principle of "consistency" could be abused to mean that the precision that is used in real-time operations (in which each and every constraint must be met) must by imposed on the commercial marketplace.  Therefore, this principle must be tempered (it is not absolute), and it should be balanced by adding another important principle: the CM model must be workable for commercial market participants. </w:t>
          </w:r>
        </w:p>
        <w:p>
          <w:pPr>
            <w:pStyle w:val="BodyText"/>
            <w:ind w:start="288" w:end="0"/>
            <w:jc w:val="start"/>
            <w:rPr/>
          </w:pPr>
          <w:r>
            <w:rPr/>
            <w:t>This new principle requires that the granularity of the congestion model not be excessive, that the model be available to market participants, and that the model enable the forward market trading of energy, transmission and ancillary services.  It also has important implications for the firmness of FTRs (approximations and assumptions about the consistency of GSFs, for example).</w:t>
          </w:r>
        </w:p>
        <w:p>
          <w:pPr>
            <w:pStyle w:val="BodyText"/>
            <w:ind w:start="288" w:end="0"/>
            <w:jc w:val="start"/>
            <w:rPr/>
          </w:pPr>
          <w:r>
            <w:rPr/>
            <w:t>In substance, the implementation details of the ISO's CMR proposal generally support this proposed principle.  So the intent of this comment on Section 4.1 is to state that the principles in the design framework need to be clarified and expanded to reflect this implicit design goal. (Note: principles SH#5 SH#6, SH#9 and SH#11 on page 19 get to this same issue.)</w:t>
          </w:r>
        </w:p>
        <w:p>
          <w:pPr>
            <w:pStyle w:val="TOC3"/>
            <w:rPr/>
          </w:pPr>
          <w:r>
            <w:rPr/>
            <w:t>4.1.1</w:t>
            <w:tab/>
            <w:t>Reaffirmation of the Original California Design Principles</w:t>
            <w:tab/>
            <w:t>15</w:t>
          </w:r>
        </w:p>
        <w:p>
          <w:pPr>
            <w:pStyle w:val="BodyText"/>
            <w:ind w:start="288" w:end="0"/>
            <w:jc w:val="start"/>
            <w:rPr/>
          </w:pPr>
          <w:r>
            <w:rPr/>
            <w:t xml:space="preserve">Features that should be kept; Why: </w:t>
          </w:r>
        </w:p>
        <w:p>
          <w:pPr>
            <w:pStyle w:val="BodyText"/>
            <w:ind w:start="288" w:end="0"/>
            <w:jc w:val="start"/>
            <w:rPr/>
          </w:pPr>
          <w:r>
            <w:rPr/>
            <w:t>Agree completely.  Decentralized markets are the ONLY path to efficiency.  Centralized "markets" is an oxymoron.</w:t>
          </w:r>
        </w:p>
        <w:p>
          <w:pPr>
            <w:pStyle w:val="TOC3"/>
            <w:rPr/>
          </w:pPr>
          <w:r>
            <w:rPr/>
            <w:t>4.1.2</w:t>
            <w:tab/>
            <w:t>Functional Unbundling</w:t>
            <w:tab/>
            <w:t>16</w:t>
          </w:r>
        </w:p>
        <w:p>
          <w:pPr>
            <w:pStyle w:val="BodyText"/>
            <w:ind w:start="288" w:end="0"/>
            <w:jc w:val="start"/>
            <w:rPr/>
          </w:pPr>
          <w:r>
            <w:rPr/>
            <w:t xml:space="preserve">Features that should be kept; Why: </w:t>
          </w:r>
        </w:p>
        <w:p>
          <w:pPr>
            <w:pStyle w:val="BodyText"/>
            <w:ind w:start="288" w:end="0"/>
            <w:jc w:val="start"/>
            <w:rPr/>
          </w:pPr>
          <w:r>
            <w:rPr/>
            <w:t>Agree completely. Functional unbundling is critical to separating the roles of the provider of monopoly services and the providers of competitive services in the marketplace.  It is also a critical prerequisite to the creation of the products that can be traded in the marketplace.</w:t>
          </w:r>
        </w:p>
        <w:p>
          <w:pPr>
            <w:pStyle w:val="TOC3"/>
            <w:rPr/>
          </w:pPr>
          <w:r>
            <w:rPr/>
            <w:t>4.1.3</w:t>
            <w:tab/>
            <w:t>Decentralized Decision Making</w:t>
            <w:tab/>
            <w:t>17</w:t>
          </w:r>
        </w:p>
        <w:p>
          <w:pPr>
            <w:pStyle w:val="BodyText"/>
            <w:ind w:start="288" w:end="0"/>
            <w:jc w:val="start"/>
            <w:rPr/>
          </w:pPr>
          <w:r>
            <w:rPr/>
            <w:t xml:space="preserve">Features that should be kept; Why: </w:t>
          </w:r>
        </w:p>
        <w:p>
          <w:pPr>
            <w:pStyle w:val="BodyText"/>
            <w:ind w:start="288" w:end="0"/>
            <w:jc w:val="start"/>
            <w:rPr/>
          </w:pPr>
          <w:r>
            <w:rPr/>
            <w:t>Agree completely.  The basic market structure in California is the only market structure that incites true optimization and the only market structure that is consistent with the evolution of technology.  This market structure will ultimately prevail in all ISOs, and the CAISO is simply at the head-of-the-pack in bringing efficiencies to the energy marketplace.</w:t>
          </w:r>
        </w:p>
        <w:p>
          <w:pPr>
            <w:pStyle w:val="TOC3"/>
            <w:rPr/>
          </w:pPr>
          <w:r>
            <w:rPr/>
            <w:t>4.1.4</w:t>
            <w:tab/>
            <w:t>The Original Design Principles as the Basis for Congestion Management Reform</w:t>
            <w:tab/>
            <w:t>17</w:t>
          </w:r>
        </w:p>
        <w:p>
          <w:pPr>
            <w:pStyle w:val="BodyText"/>
            <w:ind w:start="288" w:end="0"/>
            <w:jc w:val="start"/>
            <w:rPr/>
          </w:pPr>
          <w:r>
            <w:rPr/>
            <w:t xml:space="preserve">Features that should be kept; Why: </w:t>
          </w:r>
        </w:p>
        <w:p>
          <w:pPr>
            <w:pStyle w:val="BodyText"/>
            <w:ind w:start="288" w:end="0"/>
            <w:jc w:val="start"/>
            <w:rPr/>
          </w:pPr>
          <w:r>
            <w:rPr/>
            <w:t>Agree with this.  But note the need to add the additional principle discussed in the comments on Section 4.1.  The third bullet item needs to be clarified to recognize the balance between excessive granularity (and false precision, since even in operations, the way that real-time situations are handled cannot be extrapolated to the day-ahead) and commercial requirements (i.e., principle SH#5 on page 19).</w:t>
          </w:r>
        </w:p>
        <w:p>
          <w:pPr>
            <w:pStyle w:val="BodyText"/>
            <w:ind w:start="288" w:end="0"/>
            <w:jc w:val="start"/>
            <w:rPr/>
          </w:pPr>
          <w:r>
            <w:rPr/>
            <w:t xml:space="preserve">Features that should be removed or modified; Why and how: </w:t>
          </w:r>
        </w:p>
        <w:p>
          <w:pPr>
            <w:pStyle w:val="BodyText"/>
            <w:ind w:start="288" w:end="0"/>
            <w:jc w:val="start"/>
            <w:rPr/>
          </w:pPr>
          <w:r>
            <w:rPr/>
            <w:t>The alternative design approach  - nodal pricing - should be rejected as unreasonable, unworkable, undesirable and unnecessary.  (The ISO's April 2000 Appendix D listed a large number of reasons why nodal pricing  was undesirable.  The so-called "voluntary" nodal approach suffers from all of the same problems.)</w:t>
          </w:r>
        </w:p>
        <w:p>
          <w:pPr>
            <w:pStyle w:val="BodyText"/>
            <w:ind w:start="288" w:end="0"/>
            <w:jc w:val="start"/>
            <w:rPr/>
          </w:pPr>
          <w:r>
            <w:rPr/>
            <w:t xml:space="preserve">Features that should be added; Why and how: </w:t>
          </w:r>
        </w:p>
        <w:p>
          <w:pPr>
            <w:pStyle w:val="BodyText"/>
            <w:ind w:start="288" w:end="0"/>
            <w:jc w:val="start"/>
            <w:rPr/>
          </w:pPr>
          <w:r>
            <w:rPr/>
            <w:t>See above.</w:t>
          </w:r>
        </w:p>
        <w:p>
          <w:pPr>
            <w:pStyle w:val="TOC2"/>
            <w:rPr/>
          </w:pPr>
          <w:r>
            <w:rPr/>
            <w:t>4.2</w:t>
            <w:tab/>
            <w:t>Design Criteria</w:t>
            <w:tab/>
            <w:t>19</w:t>
          </w:r>
        </w:p>
        <w:p>
          <w:pPr>
            <w:pStyle w:val="TOC3"/>
            <w:rPr/>
          </w:pPr>
          <w:r>
            <w:rPr/>
            <w:t>4.2.3</w:t>
            <w:tab/>
            <w:t>Market Efficiency</w:t>
          </w:r>
          <w:r>
            <w:rPr>
              <w:i/>
            </w:rPr>
            <w:t xml:space="preserve"> -</w:t>
          </w:r>
          <w:r>
            <w:rPr/>
            <w:t>.</w:t>
            <w:tab/>
            <w:t>19</w:t>
          </w:r>
        </w:p>
        <w:p>
          <w:pPr>
            <w:pStyle w:val="BodyText"/>
            <w:ind w:start="288" w:end="0"/>
            <w:jc w:val="start"/>
            <w:rPr/>
          </w:pPr>
          <w:r>
            <w:rPr/>
            <w:t xml:space="preserve">Features that should be kept; Why: </w:t>
          </w:r>
        </w:p>
        <w:p>
          <w:pPr>
            <w:pStyle w:val="BodyText"/>
            <w:ind w:start="288" w:end="0"/>
            <w:jc w:val="start"/>
            <w:rPr/>
          </w:pPr>
          <w:r>
            <w:rPr/>
            <w:t>Note that principles SH#5, SH#6, SH#9 and SH#11 are important principles that do not seem to  be precisely  incorporated into some of the language on pages 14, 15, 18, 25, 28 and 51 (see the comments on those sections).</w:t>
          </w:r>
        </w:p>
        <w:p>
          <w:pPr>
            <w:pStyle w:val="BodyText"/>
            <w:ind w:start="288" w:end="0"/>
            <w:jc w:val="start"/>
            <w:rPr/>
          </w:pPr>
          <w:r>
            <w:rPr/>
            <w:t xml:space="preserve">Features that should be removed or modified; Why and how: </w:t>
          </w:r>
        </w:p>
        <w:p>
          <w:pPr>
            <w:pStyle w:val="BodyText"/>
            <w:ind w:start="288" w:end="0"/>
            <w:jc w:val="start"/>
            <w:rPr/>
          </w:pPr>
          <w:r>
            <w:rPr/>
            <w:t xml:space="preserve">Features that should be added; Why and how: </w:t>
          </w:r>
        </w:p>
        <w:p>
          <w:pPr>
            <w:pStyle w:val="TOC3"/>
            <w:rPr/>
          </w:pPr>
          <w:r>
            <w:rPr/>
            <w:t>4.2.4</w:t>
            <w:tab/>
            <w:t>Institutional Factors</w:t>
            <w:tab/>
            <w:t>20</w:t>
          </w:r>
        </w:p>
        <w:p>
          <w:pPr>
            <w:pStyle w:val="BodyText"/>
            <w:ind w:start="288" w:end="0"/>
            <w:jc w:val="start"/>
            <w:rPr/>
          </w:pPr>
          <w:r>
            <w:rPr/>
            <w:t xml:space="preserve">Features that should be kept; Why: </w:t>
          </w:r>
        </w:p>
        <w:p>
          <w:pPr>
            <w:pStyle w:val="BodyText"/>
            <w:ind w:start="288" w:end="0"/>
            <w:jc w:val="start"/>
            <w:rPr/>
          </w:pPr>
          <w:r>
            <w:rPr/>
            <w:t>Agree strongly.  See earlier comments</w:t>
          </w:r>
        </w:p>
        <w:p>
          <w:pPr>
            <w:pStyle w:val="TOC2"/>
            <w:rPr/>
          </w:pPr>
          <w:r>
            <w:rPr/>
            <w:t>4.3</w:t>
            <w:tab/>
            <w:t>Current Impediments to Competitive Market Development</w:t>
            <w:tab/>
            <w:t>21</w:t>
          </w:r>
        </w:p>
        <w:p>
          <w:pPr>
            <w:pStyle w:val="BodyText"/>
            <w:ind w:start="288" w:end="0"/>
            <w:jc w:val="start"/>
            <w:rPr/>
          </w:pPr>
          <w:r>
            <w:rPr/>
            <w:t xml:space="preserve">Features that should be added; Why and how: </w:t>
          </w:r>
        </w:p>
        <w:p>
          <w:pPr>
            <w:pStyle w:val="BodyText"/>
            <w:ind w:start="288" w:end="0"/>
            <w:jc w:val="start"/>
            <w:rPr/>
          </w:pPr>
          <w:r>
            <w:rPr/>
            <w:t>Agree.  The last bullet item (the Need for Market Information) is extremely important and is not addressed in detail in the CMR proposal.  More work needs to be done  with market participants to  define the additional information that the ISO should make available.  For example, as part of the CMR:</w:t>
          </w:r>
        </w:p>
        <w:p>
          <w:pPr>
            <w:pStyle w:val="BodyText"/>
            <w:numPr>
              <w:ilvl w:val="0"/>
              <w:numId w:val="5"/>
            </w:numPr>
            <w:tabs>
              <w:tab w:val="clear" w:pos="720"/>
              <w:tab w:val="left" w:pos="1080" w:leader="none"/>
            </w:tabs>
            <w:ind w:hanging="360" w:start="1080" w:end="0"/>
            <w:jc w:val="start"/>
            <w:rPr/>
          </w:pPr>
          <w:r>
            <w:rPr/>
            <w:t xml:space="preserve">The ISO should commit to publishing  the line ratings used in CONG and should commit to living by those ratings (i.e., it should not adjust those ratings except in the case of transmission line outages).   The ISO should also commit to provide the historical line ratings used in CONG for the past year(s).  </w:t>
          </w:r>
        </w:p>
        <w:p>
          <w:pPr>
            <w:pStyle w:val="BodyText"/>
            <w:numPr>
              <w:ilvl w:val="0"/>
              <w:numId w:val="5"/>
            </w:numPr>
            <w:tabs>
              <w:tab w:val="clear" w:pos="720"/>
              <w:tab w:val="left" w:pos="1080" w:leader="none"/>
            </w:tabs>
            <w:ind w:hanging="360" w:start="1080" w:end="0"/>
            <w:jc w:val="start"/>
            <w:rPr/>
          </w:pPr>
          <w:r>
            <w:rPr/>
            <w:t>The ISO should commit to making available to market participants all of the rules through which Existing Contracts are managed by the ISO and the TOs.  (This is especially true for Path 15, for which market participants haven't a clue as to how daily allocations are determined.)</w:t>
          </w:r>
        </w:p>
        <w:p>
          <w:pPr>
            <w:pStyle w:val="BodyText"/>
            <w:ind w:start="288" w:end="0"/>
            <w:jc w:val="start"/>
            <w:rPr/>
          </w:pPr>
          <w:r>
            <w:rPr/>
            <w:t>The same holds true for all other information that relates to the availability and pricing of transmission capacity.  Without this type of information, the premise that decentralized markets can achieve the goals stated earlier in the CMR document may not be true.</w:t>
          </w:r>
        </w:p>
        <w:p>
          <w:pPr>
            <w:pStyle w:val="TOC1"/>
            <w:rPr/>
          </w:pPr>
          <w:r>
            <w:rPr/>
            <w:t>5.</w:t>
            <w:tab/>
            <w:t>REAL-TIME OPERATIONAL REQUIREMENTS</w:t>
            <w:tab/>
            <w:t>22</w:t>
          </w:r>
        </w:p>
        <w:p>
          <w:pPr>
            <w:pStyle w:val="BodyText"/>
            <w:ind w:start="288" w:end="0"/>
            <w:jc w:val="start"/>
            <w:rPr/>
          </w:pPr>
          <w:r>
            <w:rPr/>
            <w:t xml:space="preserve">General Comments: </w:t>
          </w:r>
        </w:p>
        <w:p>
          <w:pPr>
            <w:pStyle w:val="BodyText"/>
            <w:ind w:start="288" w:end="0"/>
            <w:jc w:val="start"/>
            <w:rPr/>
          </w:pPr>
          <w:r>
            <w:rPr/>
            <w:t>No comments on Section 5.  But we have several comments on the language in Section 6, which we will insert here:</w:t>
          </w:r>
        </w:p>
        <w:p>
          <w:pPr>
            <w:pStyle w:val="BodyText"/>
            <w:numPr>
              <w:ilvl w:val="0"/>
              <w:numId w:val="6"/>
            </w:numPr>
            <w:jc w:val="start"/>
            <w:rPr/>
          </w:pPr>
          <w:r>
            <w:rPr/>
            <w:t xml:space="preserve">On page 25, (6.1, item 2 and the two paragraphs that follow): see comments on Section 4 about tempering the "absolute" nature of the statements. </w:t>
          </w:r>
        </w:p>
        <w:p>
          <w:pPr>
            <w:pStyle w:val="BodyText"/>
            <w:numPr>
              <w:ilvl w:val="0"/>
              <w:numId w:val="6"/>
            </w:numPr>
            <w:jc w:val="start"/>
            <w:rPr/>
          </w:pPr>
          <w:r>
            <w:rPr/>
            <w:t>On page 27: it would be helpful to clarify that LPAs and LRAs are not mutually-exclusive.  I.e., LPAs are the LRAs and are the areas surrounding LRAs as well.</w:t>
          </w:r>
        </w:p>
        <w:p>
          <w:pPr>
            <w:pStyle w:val="BodyText"/>
            <w:numPr>
              <w:ilvl w:val="0"/>
              <w:numId w:val="6"/>
            </w:numPr>
            <w:jc w:val="start"/>
            <w:rPr/>
          </w:pPr>
          <w:r>
            <w:rPr/>
            <w:t>On page 28, the final 3 bullet items at the top of the page need to be tempered.  The use of the word "equivalent" implies that there could be hundreds of LPAs.  We believe that what the authors meant to write is "similar" rather than "equivalent" (which could be construed to mean "identical" in their effects).  It also seems somewhat unrealistic to state that there will be "no" intra-LPA congestion, rather than "minimal intra-LPA congestion with the system in its normal state."</w:t>
          </w:r>
        </w:p>
        <w:p>
          <w:pPr>
            <w:pStyle w:val="TOC1"/>
            <w:rPr/>
          </w:pPr>
          <w:r>
            <w:rPr/>
            <w:t>7.</w:t>
            <w:tab/>
            <w:t>THE LONG-FORWARD MARKET</w:t>
            <w:tab/>
            <w:t>35</w:t>
          </w:r>
        </w:p>
        <w:p>
          <w:pPr>
            <w:pStyle w:val="BodyText"/>
            <w:ind w:start="288" w:end="0"/>
            <w:jc w:val="start"/>
            <w:rPr/>
          </w:pPr>
          <w:r>
            <w:rPr/>
            <w:t xml:space="preserve">Features that should be kept; Why: </w:t>
          </w:r>
        </w:p>
        <w:p>
          <w:pPr>
            <w:pStyle w:val="BodyText"/>
            <w:ind w:start="288" w:end="0"/>
            <w:jc w:val="start"/>
            <w:rPr/>
          </w:pPr>
          <w:r>
            <w:rPr/>
            <w:t>The basics of this proposal seem sound.  We provide comments on the subsections below.</w:t>
          </w:r>
        </w:p>
        <w:p>
          <w:pPr>
            <w:pStyle w:val="TOC4"/>
            <w:rPr/>
          </w:pPr>
          <w:r>
            <w:rPr/>
            <w:t>7.1.3.1</w:t>
            <w:tab/>
            <w:t>LPA-Creation Criteria</w:t>
            <w:tab/>
            <w:t>35</w:t>
          </w:r>
        </w:p>
        <w:p>
          <w:pPr>
            <w:pStyle w:val="BodyText"/>
            <w:ind w:start="288" w:end="0"/>
            <w:jc w:val="start"/>
            <w:rPr/>
          </w:pPr>
          <w:r>
            <w:rPr/>
            <w:t xml:space="preserve">Features that should be kept; Why: </w:t>
          </w:r>
        </w:p>
        <w:p>
          <w:pPr>
            <w:pStyle w:val="BodyText"/>
            <w:ind w:start="288" w:end="0"/>
            <w:jc w:val="start"/>
            <w:rPr/>
          </w:pPr>
          <w:r>
            <w:rPr/>
            <w:t>We agree that LPAs should be created on the basis of commercial significance (in the amount of congestion) and possibly through the additional criterion of shift factor analysis.</w:t>
          </w:r>
        </w:p>
        <w:p>
          <w:pPr>
            <w:pStyle w:val="BodyText"/>
            <w:ind w:start="288" w:end="0"/>
            <w:jc w:val="start"/>
            <w:rPr/>
          </w:pPr>
          <w:r>
            <w:rPr/>
            <w:t xml:space="preserve">Features that should be removed or modified; Why and how: </w:t>
          </w:r>
        </w:p>
        <w:p>
          <w:pPr>
            <w:pStyle w:val="BodyText"/>
            <w:ind w:start="288" w:end="0"/>
            <w:jc w:val="start"/>
            <w:rPr/>
          </w:pPr>
          <w:r>
            <w:rPr/>
            <w:t>We disagree that there is a need to reexamine the 5% criterion.   The results that come from the use of the 5% criterion appear to be quite reasonable.  In fact, if anything the criterion may result in too many LPAs, which could argue for increasing the criterion to a higher number.  But any number higher than 5% would be arbitrary.  So we believe the use of 5% as a first screen for the creation of LPAs is appropriate, that the evidence supports the 5% criterion, and that there is  no evidence whatsoever that implies that there is a need for any reexamination of the criterion.</w:t>
          </w:r>
        </w:p>
        <w:p>
          <w:pPr>
            <w:pStyle w:val="BodyText"/>
            <w:ind w:start="288" w:end="0"/>
            <w:jc w:val="start"/>
            <w:rPr/>
          </w:pPr>
          <w:r>
            <w:rPr/>
            <w:t>The use of locational price dispersion (LPD) studies is inappropriate.  The very premise of the LPD studies is that there exists some sort of model through which node-specific marginal costs can be calculated with any reasonable accuracy.  The ISO has never addressed this issue; and to rely on the "garbage-in, garbage-out" results of a computer model to create new LPAs would be very inappropriate.</w:t>
          </w:r>
        </w:p>
        <w:p>
          <w:pPr>
            <w:pStyle w:val="TOC3"/>
            <w:rPr/>
          </w:pPr>
          <w:r>
            <w:rPr/>
            <w:t>7.1.4</w:t>
            <w:tab/>
            <w:t>Other Options Considered</w:t>
            <w:tab/>
            <w:t>36</w:t>
          </w:r>
        </w:p>
        <w:p>
          <w:pPr>
            <w:pStyle w:val="BodyText"/>
            <w:ind w:start="288" w:end="0"/>
            <w:jc w:val="start"/>
            <w:rPr/>
          </w:pPr>
          <w:r>
            <w:rPr/>
            <w:t xml:space="preserve">Features that should be removed or modified; Why and how: </w:t>
          </w:r>
        </w:p>
        <w:p>
          <w:pPr>
            <w:pStyle w:val="BodyText"/>
            <w:ind w:start="288" w:end="0"/>
            <w:jc w:val="start"/>
            <w:rPr/>
          </w:pPr>
          <w:r>
            <w:rPr/>
            <w:t>Other Options Considered (nodal pricing and PJM/NYISO Poolco) should be rejected as entirely inconsistent with both the fundamentals of the California market design and the stakeholder principles discussed earlier in the CMR document.</w:t>
          </w:r>
        </w:p>
        <w:p>
          <w:pPr>
            <w:pStyle w:val="TOC3"/>
            <w:rPr/>
          </w:pPr>
          <w:r>
            <w:rPr/>
            <w:t>7.1.5</w:t>
            <w:tab/>
            <w:t>Open Issues</w:t>
            <w:tab/>
            <w:t>38</w:t>
          </w:r>
        </w:p>
        <w:p>
          <w:pPr>
            <w:pStyle w:val="BodyText"/>
            <w:ind w:start="288" w:end="0"/>
            <w:jc w:val="start"/>
            <w:rPr/>
          </w:pPr>
          <w:r>
            <w:rPr/>
            <w:t>See comments on Section 7.1.3.</w:t>
          </w:r>
        </w:p>
        <w:p>
          <w:pPr>
            <w:pStyle w:val="TOC2"/>
            <w:rPr/>
          </w:pPr>
          <w:r>
            <w:rPr>
              <w:color w:val="000000"/>
            </w:rPr>
            <w:t>7</w:t>
          </w:r>
          <w:r>
            <w:rPr/>
            <w:t>.2</w:t>
            <w:tab/>
            <w:t xml:space="preserve"> Firm Transmission Rights</w:t>
            <w:tab/>
            <w:t>39</w:t>
          </w:r>
        </w:p>
        <w:p>
          <w:pPr>
            <w:pStyle w:val="BodyText"/>
            <w:ind w:start="288" w:end="0"/>
            <w:jc w:val="start"/>
            <w:rPr/>
          </w:pPr>
          <w:r>
            <w:rPr/>
            <w:t xml:space="preserve">Features that should be kept; Why: </w:t>
          </w:r>
        </w:p>
        <w:p>
          <w:pPr>
            <w:pStyle w:val="BodyText"/>
            <w:ind w:start="288" w:end="0"/>
            <w:jc w:val="start"/>
            <w:rPr/>
          </w:pPr>
          <w:r>
            <w:rPr/>
            <w:t>The basic premise, to increase the number of FTRs available to SCs, is a sound objective.</w:t>
          </w:r>
        </w:p>
        <w:p>
          <w:pPr>
            <w:pStyle w:val="TOC3"/>
            <w:rPr/>
          </w:pPr>
          <w:r>
            <w:rPr/>
            <w:t>7.2.1</w:t>
            <w:tab/>
            <w:t>Background on Current FTR Product</w:t>
            <w:tab/>
            <w:t>39</w:t>
          </w:r>
        </w:p>
        <w:p>
          <w:pPr>
            <w:pStyle w:val="BodyText"/>
            <w:ind w:start="288" w:end="0"/>
            <w:jc w:val="start"/>
            <w:rPr/>
          </w:pPr>
          <w:r>
            <w:rPr/>
            <w:t xml:space="preserve">Features that should be removed or modified; Why and how: </w:t>
          </w:r>
        </w:p>
        <w:p>
          <w:pPr>
            <w:pStyle w:val="BodyText"/>
            <w:ind w:start="288" w:end="0"/>
            <w:jc w:val="start"/>
            <w:rPr/>
          </w:pPr>
          <w:r>
            <w:rPr/>
            <w:t>The allocation of transmission capacity  "first to Market Participants that are using Existing Transmission Contracts" is neither equitable nor consistent with the premise of the California market design: that ETCs should be fully honored, no more and no less.   We agree fully with that premise; but the allocation approach stated above clearly violates the premise because there are indeed ETCs which, according to their terms, are less firm than FTRs.  The CMR should correct this misallocation of transmission capacity, not build upon it.</w:t>
          </w:r>
        </w:p>
        <w:p>
          <w:pPr>
            <w:pStyle w:val="TOC4"/>
            <w:rPr/>
          </w:pPr>
          <w:r>
            <w:rPr/>
            <w:t>7.2.2.1</w:t>
            <w:tab/>
            <w:t>100% Release</w:t>
            <w:tab/>
            <w:t>40</w:t>
          </w:r>
        </w:p>
        <w:p>
          <w:pPr>
            <w:pStyle w:val="BodyText"/>
            <w:ind w:start="288" w:end="0"/>
            <w:jc w:val="start"/>
            <w:rPr/>
          </w:pPr>
          <w:r>
            <w:rPr/>
            <w:t xml:space="preserve">Features that should be kept; Why: </w:t>
          </w:r>
        </w:p>
        <w:p>
          <w:pPr>
            <w:pStyle w:val="BodyText"/>
            <w:ind w:start="288" w:end="0"/>
            <w:jc w:val="start"/>
            <w:rPr/>
          </w:pPr>
          <w:r>
            <w:rPr/>
            <w:t xml:space="preserve">We agree with the release of 100% of the FTR capacity.  However, we disagree with the hold-back of 50% to a month-ahead auction. </w:t>
          </w:r>
        </w:p>
        <w:p>
          <w:pPr>
            <w:pStyle w:val="BodyText"/>
            <w:ind w:start="288" w:end="0"/>
            <w:jc w:val="start"/>
            <w:rPr/>
          </w:pPr>
          <w:r>
            <w:rPr/>
            <w:t xml:space="preserve">Features that should be removed or modified; Why and how: </w:t>
          </w:r>
        </w:p>
        <w:p>
          <w:pPr>
            <w:pStyle w:val="BodyText"/>
            <w:ind w:start="288" w:end="0"/>
            <w:jc w:val="start"/>
            <w:rPr/>
          </w:pPr>
          <w:r>
            <w:rPr/>
            <w:t>The proposal should be modified to release all capacity that can be made available at a reasonable level of firmness (95%, and ignoring the effects of forced outages or scheduled maintenance) on a long-term (annual or longer) basis; with subsequent releases on seasonal, monthly, weekly and day-ahead basis.  Shorter-term releases should be made, not through a centralized auction procedure or through CONG, but through releases to an ISO-certified, external-to-the-ISO electronic FTR exchange.  This approach would  give the market participants the greatest ability to manage scarce transmission capacity.   The ISO's proposal, on the other hand, would limit the ability of market participants to make forward commitments and develop hedges.</w:t>
          </w:r>
        </w:p>
        <w:p>
          <w:pPr>
            <w:pStyle w:val="TOC3"/>
            <w:rPr/>
          </w:pPr>
          <w:r>
            <w:rPr/>
            <w:t>7.2.3</w:t>
            <w:tab/>
            <w:t>Impact of and Issues Regarding Proposed Changes</w:t>
            <w:tab/>
            <w:t>40</w:t>
          </w:r>
        </w:p>
        <w:p>
          <w:pPr>
            <w:pStyle w:val="BodyText"/>
            <w:ind w:start="288" w:end="0"/>
            <w:jc w:val="start"/>
            <w:rPr/>
          </w:pPr>
          <w:r>
            <w:rPr/>
            <w:t xml:space="preserve">Features that should be kept; Why: </w:t>
          </w:r>
        </w:p>
        <w:p>
          <w:pPr>
            <w:pStyle w:val="BodyText"/>
            <w:ind w:start="288" w:end="0"/>
            <w:jc w:val="start"/>
            <w:rPr/>
          </w:pPr>
          <w:r>
            <w:rPr/>
            <w:t>The basics are sound.  See comments below.</w:t>
          </w:r>
        </w:p>
        <w:p>
          <w:pPr>
            <w:pStyle w:val="TOC4"/>
            <w:rPr/>
          </w:pPr>
          <w:r>
            <w:rPr/>
            <w:t>7.2.3.1</w:t>
            <w:tab/>
            <w:t>FTRs Under a Looped Network Model</w:t>
            <w:tab/>
            <w:t>40</w:t>
          </w:r>
        </w:p>
        <w:p>
          <w:pPr>
            <w:pStyle w:val="BodyText"/>
            <w:ind w:start="288" w:end="0"/>
            <w:jc w:val="start"/>
            <w:rPr/>
          </w:pPr>
          <w:r>
            <w:rPr/>
            <w:t xml:space="preserve">Features that should be removed or modified; Why and how: </w:t>
          </w:r>
        </w:p>
        <w:p>
          <w:pPr>
            <w:pStyle w:val="BodyText"/>
            <w:ind w:start="288" w:end="0"/>
            <w:jc w:val="start"/>
            <w:rPr/>
          </w:pPr>
          <w:r>
            <w:rPr/>
            <w:t>As a matter of clarity (and for consistency with the models that are being developed in other RTOs): the ISO is proposing a flowgate-zonal model.  This is very appropriate.  But the ISO's language does not state this clearly.  The ISO should adopt the terminology used generally (flowgates or flowpaths, and Flow Distribution Factors rather than GSFs, PTDFs  etc.) and make it clear that this is the type of model that is being proposed.</w:t>
          </w:r>
        </w:p>
        <w:p>
          <w:pPr>
            <w:pStyle w:val="BodyText"/>
            <w:ind w:start="288" w:end="0"/>
            <w:jc w:val="start"/>
            <w:rPr/>
          </w:pPr>
          <w:r>
            <w:rPr/>
            <w:t>We disagree with Footnote 26, if it means that the frequent updates of the network model will be used to diminish the firmness of FTRs.  Model updates certainly need to be used in real-time operations, or even in day-ahead scheduling and for determining whether additional FTRs can be released on a short-term basis.  But, except for major changes in system topology, the GSFs and ratings used for the purposes of scheduling FTRs should be held fixed.  Stability of the commercial model is very, very important.</w:t>
          </w:r>
        </w:p>
        <w:p>
          <w:pPr>
            <w:pStyle w:val="TOC4"/>
            <w:rPr/>
          </w:pPr>
          <w:r>
            <w:rPr/>
            <w:t>7.2.3.2</w:t>
            <w:tab/>
            <w:t>FTR Monitoring</w:t>
            <w:tab/>
            <w:t>41</w:t>
          </w:r>
        </w:p>
        <w:p>
          <w:pPr>
            <w:pStyle w:val="BodyText"/>
            <w:ind w:start="288" w:end="0"/>
            <w:jc w:val="start"/>
            <w:rPr/>
          </w:pPr>
          <w:r>
            <w:rPr/>
            <w:t xml:space="preserve">Features that should be removed or modified; Why and how: </w:t>
          </w:r>
        </w:p>
        <w:p>
          <w:pPr>
            <w:pStyle w:val="BodyText"/>
            <w:ind w:start="288" w:end="0"/>
            <w:jc w:val="start"/>
            <w:rPr/>
          </w:pPr>
          <w:r>
            <w:rPr/>
            <w:t>The present approach to monitoring the trades of FTRs should be discarded.  It will interfere with the continuous trading of FTRs in electronic exchanges.  For efficiency's sake, the ISO should get out of the business of tracking FTRs.  Much less-intrusive approaches exist.  For example, the ISO can outsource the role of clearinghouse or transfer agent to a third party (likely one of the parties that would operate one of the ISO-certified transmission rights exchanges).  And it can ensure that FTRs are not used anti-competitively by requiring Eligible Customers to "make a market" in FTRs if their position limits exceed 50% of the market.  This would be far less intrusive than the ISO's current approach.</w:t>
          </w:r>
        </w:p>
        <w:p>
          <w:pPr>
            <w:pStyle w:val="TOC4"/>
            <w:rPr/>
          </w:pPr>
          <w:r>
            <w:rPr/>
            <w:t>7.2.3.3</w:t>
            <w:tab/>
            <w:t>FTRs and LPA Changes</w:t>
            <w:tab/>
            <w:t>41</w:t>
          </w:r>
        </w:p>
        <w:p>
          <w:pPr>
            <w:pStyle w:val="BodyText"/>
            <w:ind w:start="288" w:end="0"/>
            <w:jc w:val="start"/>
            <w:rPr/>
          </w:pPr>
          <w:r>
            <w:rPr/>
            <w:t xml:space="preserve">Features that should be removed or modified; Why and how: </w:t>
          </w:r>
        </w:p>
        <w:p>
          <w:pPr>
            <w:pStyle w:val="BodyText"/>
            <w:ind w:start="288" w:end="0"/>
            <w:jc w:val="start"/>
            <w:rPr/>
          </w:pPr>
          <w:r>
            <w:rPr/>
            <w:t>We disagree with Option 2 for honoring FTRs. It would kill the hedge value of FTRs. Option 1 is also problematic.  We do have several ideas for alternative approaches and look forward to exploring them with the ISO in upcoming sessions of the CMR process.</w:t>
          </w:r>
        </w:p>
        <w:p>
          <w:pPr>
            <w:pStyle w:val="TOC3"/>
            <w:rPr/>
          </w:pPr>
          <w:r>
            <w:rPr/>
            <w:t>7.2.4</w:t>
            <w:tab/>
            <w:t>Other Options Considered</w:t>
            <w:tab/>
            <w:t>43</w:t>
          </w:r>
        </w:p>
        <w:p>
          <w:pPr>
            <w:pStyle w:val="BodyText"/>
            <w:ind w:start="288" w:end="0"/>
            <w:jc w:val="start"/>
            <w:rPr/>
          </w:pPr>
          <w:r>
            <w:rPr/>
            <w:t xml:space="preserve">Features that should be kept; Why: </w:t>
          </w:r>
        </w:p>
        <w:p>
          <w:pPr>
            <w:pStyle w:val="BodyText"/>
            <w:ind w:start="288" w:end="0"/>
            <w:jc w:val="start"/>
            <w:rPr/>
          </w:pPr>
          <w:r>
            <w:rPr/>
            <w:t xml:space="preserve">The physical rights model (require FTRs for scheduling) warrants much more consideration.  Many of the problems in the California market stem from the fact that the ISO is "in the market" as a broker through its CONG program.  This stifles the marketplace's desire and ability to offer and use the electronic exchanges that should be at the heart of an efficient decentralized market.  The physical rights approach is being adopted in the Desert Southwest and the Pacific Northwest, and the ISO's transition to this approach would eliminate many of the worrisome operational inter-RTO seams issues. Finally, the ISO's contention that the approach would not "foster meaningful and transparent locational price signals" is completely unfounded.  Virtually ever other commodity market operates efficiently through such an approach, and the electronic exchanges in those markets do indeed provide the necessary price signals.  The ISO's rationale for rejecting this alternative is not sound and the approach warrants further consideration.  </w:t>
          </w:r>
        </w:p>
        <w:p>
          <w:pPr>
            <w:pStyle w:val="BodyText"/>
            <w:ind w:start="288" w:end="0"/>
            <w:jc w:val="start"/>
            <w:rPr/>
          </w:pPr>
          <w:r>
            <w:rPr/>
            <w:t>Similarly, the expiration of financial rights after the DA market should be considered (although if the physical rights option described above were adopted, this would be a moot question).</w:t>
          </w:r>
        </w:p>
        <w:p>
          <w:pPr>
            <w:pStyle w:val="BodyText"/>
            <w:ind w:start="288" w:end="0"/>
            <w:jc w:val="start"/>
            <w:rPr/>
          </w:pPr>
          <w:r>
            <w:rPr/>
            <w:t xml:space="preserve">Features that should be removed or modified; Why and how: </w:t>
          </w:r>
        </w:p>
        <w:p>
          <w:pPr>
            <w:pStyle w:val="BodyText"/>
            <w:ind w:start="288" w:end="0"/>
            <w:jc w:val="start"/>
            <w:rPr/>
          </w:pPr>
          <w:r>
            <w:rPr/>
            <w:t xml:space="preserve">The point-to-point FTR approach deserves no further consideration.  It has not worked in the eastern ISOs and would not work here.  It simply kills liquidity in the FTR market. </w:t>
          </w:r>
        </w:p>
        <w:p>
          <w:pPr>
            <w:pStyle w:val="TOC3"/>
            <w:rPr/>
          </w:pPr>
          <w:r>
            <w:rPr/>
            <w:t>7.2.5</w:t>
            <w:tab/>
            <w:t>Open Issues</w:t>
            <w:tab/>
            <w:t>43</w:t>
          </w:r>
        </w:p>
        <w:p>
          <w:pPr>
            <w:pStyle w:val="BodyText"/>
            <w:ind w:start="288" w:end="0"/>
            <w:jc w:val="start"/>
            <w:rPr/>
          </w:pPr>
          <w:r>
            <w:rPr/>
            <w:t xml:space="preserve">Features that should be removed or modified; Why and how: </w:t>
          </w:r>
        </w:p>
        <w:p>
          <w:pPr>
            <w:pStyle w:val="BodyText"/>
            <w:ind w:start="540" w:end="0"/>
            <w:jc w:val="start"/>
            <w:rPr/>
          </w:pPr>
          <w:r>
            <w:rPr/>
            <w:t xml:space="preserve">The concept of packaged bidding does not deserve further consideration.   The ISO would only further intrude into the marketplace through this concept.  Packaging of FTRs will be accomplished readily in the marketplace.  </w:t>
          </w:r>
        </w:p>
        <w:p>
          <w:pPr>
            <w:pStyle w:val="BodyText"/>
            <w:ind w:start="540" w:end="0"/>
            <w:jc w:val="start"/>
            <w:rPr/>
          </w:pPr>
          <w:r>
            <w:rPr/>
            <w:t>Updating of shift factors: except for major contingencies that occur as described below, this should not happen at all during the term of the FTRs.  When FTRs are sold, they should be sold with a "term sheet" which states the shift factors that will be used under all conditions, with the exception of a pre-specified set of contingencies.  The shift factors associated with those pre-specified contingencies should also be stated in the term sheet.  Beyond that, any system changes which would result in changes to the true shift factors would not be imposed on market participants.  Instead, the differences between the "true" shift factors and the "commercial" shift factors would be managed by the ISO through its residual releases of FTRs, through buyback of FTRs, and through residual congestion management.</w:t>
          </w:r>
        </w:p>
        <w:p>
          <w:pPr>
            <w:pStyle w:val="BodyText"/>
            <w:ind w:hanging="252" w:start="540" w:end="0"/>
            <w:jc w:val="start"/>
            <w:rPr/>
          </w:pPr>
          <w:r>
            <w:rPr/>
            <w:t xml:space="preserve">Preference among stated options (Primary FTR auction revenues and Usage Charge revenues allocated to PTOs and FTR holders vs. path-specific transmission upgrade fund vs. loads within the congested LPA): </w:t>
          </w:r>
        </w:p>
        <w:p>
          <w:pPr>
            <w:pStyle w:val="BodyText"/>
            <w:ind w:start="540" w:end="0"/>
            <w:jc w:val="start"/>
            <w:rPr/>
          </w:pPr>
          <w:r>
            <w:rPr/>
            <w:t>Revenues should be allocated to PTOs and FTR holders, or possibly to loads within the congested LPA (although there are many implementation issues associated with the latter approach).  The concept of a transmission upgrade fund has no merit. The decision to build/not-build should not be influenced one iota by whether or not there happens to be money sitting in a pot.   Uneconomic over-expansion will occur if the decision to build is facilitated by having spare money lying around.  And uneconomic under-building will occur if the decision to build is delayed by waiting for money to be available (vs. borrowing the money).</w:t>
          </w:r>
        </w:p>
        <w:p>
          <w:pPr>
            <w:pStyle w:val="TOC2"/>
            <w:rPr/>
          </w:pPr>
          <w:r>
            <w:rPr/>
            <w:t xml:space="preserve">7.3 </w:t>
            <w:tab/>
            <w:t>Local Reliability Service</w:t>
            <w:tab/>
            <w:t>44</w:t>
          </w:r>
        </w:p>
        <w:p>
          <w:pPr>
            <w:pStyle w:val="BodyText"/>
            <w:ind w:start="288" w:end="0"/>
            <w:jc w:val="start"/>
            <w:rPr/>
          </w:pPr>
          <w:r>
            <w:rPr/>
            <w:t xml:space="preserve">Features that should be kept; Why: </w:t>
          </w:r>
        </w:p>
        <w:p>
          <w:pPr>
            <w:pStyle w:val="BodyText"/>
            <w:ind w:start="288" w:end="0"/>
            <w:jc w:val="start"/>
            <w:rPr/>
          </w:pPr>
          <w:r>
            <w:rPr/>
            <w:t>The basic approach warrants more consideration.  There are many implementation details.  And  more thought should be given to increasing the SCs' role in this process and diminishing the ISO's role, by having the ISO define the LRS obligations of generators and define the bid caps, but then turn over the obligation to acquire LRS energy and capacity to the SCs that have loads in the LRA.  These SCs would be able to negotiate longer-term bilateral agreements with the providers of LRS services under rates, terms and conditions that could certainly never be worse than those that the ISO would exercise under its LRS proposal, and would possibly be mutually better (for the SC and the provider of the LRS service) because of the flexibilities each would have under bilateral long-term hedging agreements.    This approach would also ensure that the value of FTRs into the LRA would not be harmed (and would properly equilibrate with energy prices), since each SC would have before itself the choice of acquiring FTRs from the transmission exchange or  purchasing LRA energy under the "recourse contracts" described above."</w:t>
          </w:r>
        </w:p>
        <w:p>
          <w:pPr>
            <w:pStyle w:val="BodyText"/>
            <w:ind w:start="288" w:end="0"/>
            <w:jc w:val="start"/>
            <w:rPr/>
          </w:pPr>
          <w:r>
            <w:rPr/>
            <w:t>Note that the feature described above is not intended as a criticism of the ISO's basic concept, but as an implementation alternative that may have much better features than that detailed in the CMR proposal.</w:t>
          </w:r>
        </w:p>
        <w:p>
          <w:pPr>
            <w:pStyle w:val="TOC3"/>
            <w:rPr/>
          </w:pPr>
          <w:r>
            <w:rPr/>
            <w:t>7.3.4</w:t>
            <w:tab/>
            <w:t>Alternative Options for Satisfying Local Reliability Requirements</w:t>
            <w:tab/>
            <w:t>45</w:t>
          </w:r>
        </w:p>
        <w:p>
          <w:pPr>
            <w:pStyle w:val="BodyText"/>
            <w:ind w:start="288" w:end="0"/>
            <w:jc w:val="start"/>
            <w:rPr/>
          </w:pPr>
          <w:r>
            <w:rPr/>
            <w:t xml:space="preserve">Features that should be kept; Why: </w:t>
          </w:r>
        </w:p>
        <w:p>
          <w:pPr>
            <w:pStyle w:val="BodyText"/>
            <w:ind w:start="288" w:end="0"/>
            <w:jc w:val="start"/>
            <w:rPr/>
          </w:pPr>
          <w:r>
            <w:rPr/>
            <w:t>Under Option 2, (page 48): we strongly support the approach of allocating the cost of LRS capacity to the metered load in the LRA. To do anything to the contrary would be to undermine the value of FTRs into the LRA (because SCs should be exposed to the prices of the two alternatives: use FTRs to serve LRA loads, or purchase LRS capacity to serve those same loads).</w:t>
          </w:r>
        </w:p>
        <w:p>
          <w:pPr>
            <w:pStyle w:val="BodyText"/>
            <w:ind w:start="288" w:end="0"/>
            <w:jc w:val="start"/>
            <w:rPr/>
          </w:pPr>
          <w:r>
            <w:rPr/>
            <w:t xml:space="preserve">Features that should be removed or modified; Why and how: </w:t>
          </w:r>
        </w:p>
        <w:p>
          <w:pPr>
            <w:pStyle w:val="BodyText"/>
            <w:ind w:start="288" w:end="0"/>
            <w:jc w:val="start"/>
            <w:rPr/>
          </w:pPr>
          <w:r>
            <w:rPr/>
            <w:t>Under Option 2 (page 48, footnote 30): the concept of Availability Standards that would be imposed system-wide (e.g., when loads exceed 38 GW) should be dropped.  The ISO should not have the authority to commandeer the facilities of market participants.  The market will solve the problem of resource availability during high load periods once market participants write long-term hedging agreements with one another.  The ISO's proposal of an administrative mechanism would only undermine the incentives of the parties to make such agreements, and put the ISO into the role of acquiring and selling resources at non-market, command-and-control prices.</w:t>
          </w:r>
        </w:p>
        <w:p>
          <w:pPr>
            <w:pStyle w:val="BodyText"/>
            <w:ind w:start="288" w:end="0"/>
            <w:jc w:val="start"/>
            <w:rPr/>
          </w:pPr>
          <w:r>
            <w:rPr/>
            <w:t>Under Option 2, Bid Cap Alternative 1 is problematic in that it does not provide sufficient locational incentives for new resources (transmission, generation or DSM) in the LRA. This needs to be addressed before Option 2 could be considered viable.</w:t>
          </w:r>
        </w:p>
        <w:p>
          <w:pPr>
            <w:pStyle w:val="BodyText"/>
            <w:ind w:start="288" w:end="0"/>
            <w:jc w:val="start"/>
            <w:rPr/>
          </w:pPr>
          <w:r>
            <w:rPr/>
            <w:t>The Scheduling Requirements under Option 2 also warrant more discussion, especially in the context of a more market-focused approach that would rely on recourse contracts and SC obligations to acquire LRA energy and capacity as the primary (but not exclusive) vehicle for day-to-day management of LRA resource scheduling.</w:t>
          </w:r>
        </w:p>
        <w:p>
          <w:pPr>
            <w:pStyle w:val="BodyText"/>
            <w:ind w:start="288" w:end="0"/>
            <w:jc w:val="start"/>
            <w:rPr/>
          </w:pPr>
          <w:r>
            <w:rPr/>
            <w:t>The variant of Option 3 that would require the violation of the Market Separation rule (page 51) should be immediately dropped from consideration.  It is entirely inconsistent with the basic market design and, given the alternatives, there is no need to violate the basic design principles in order to implement this variant of Option 3.</w:t>
          </w:r>
        </w:p>
        <w:p>
          <w:pPr>
            <w:pStyle w:val="BodyText"/>
            <w:ind w:start="288" w:end="0"/>
            <w:jc w:val="start"/>
            <w:rPr/>
          </w:pPr>
          <w:r>
            <w:rPr/>
            <w:t xml:space="preserve">Features that should be added; Why and how: </w:t>
          </w:r>
        </w:p>
        <w:p>
          <w:pPr>
            <w:pStyle w:val="BodyText"/>
            <w:ind w:start="288" w:end="0"/>
            <w:jc w:val="start"/>
            <w:rPr/>
          </w:pPr>
          <w:r>
            <w:rPr/>
            <w:t>See comment on Section 7.3 above, regarding the use of recourse contracts and SC obligations as a more market-focused alternative to the ISO's role in the scheduling of LRA energy and capacity..</w:t>
          </w:r>
        </w:p>
        <w:p>
          <w:pPr>
            <w:pStyle w:val="BodyText"/>
            <w:ind w:hanging="252" w:start="540" w:end="0"/>
            <w:jc w:val="start"/>
            <w:rPr/>
          </w:pPr>
          <w:r>
            <w:rPr/>
            <w:t xml:space="preserve">Preference among stated options (Existing RMR Approach vs. Two-Day-Ahead LRS Auction vs. LRS Energy Payment Only): </w:t>
          </w:r>
        </w:p>
        <w:p>
          <w:pPr>
            <w:pStyle w:val="BodyText"/>
            <w:ind w:start="540" w:end="0"/>
            <w:jc w:val="start"/>
            <w:rPr/>
          </w:pPr>
          <w:r>
            <w:rPr/>
            <w:t>Option 2 seems to be the best alternative to pursue at this time. Many details need to be developed (for example, how the LRS requirements will be determined and updated, and what the caps will be); and it is possible that as a result, Option 3 might be the next alternative.</w:t>
          </w:r>
        </w:p>
        <w:p>
          <w:pPr>
            <w:pStyle w:val="BodyText"/>
            <w:ind w:hanging="252" w:start="540" w:end="0"/>
            <w:jc w:val="start"/>
            <w:rPr/>
          </w:pPr>
          <w:r>
            <w:rPr/>
            <w:t xml:space="preserve">Preference among stated options </w:t>
          </w:r>
          <w:r>
            <w:rPr>
              <w:b/>
            </w:rPr>
            <w:t>[Note: aren’t these "Alternatives" rather than "Options"?]</w:t>
          </w:r>
          <w:r>
            <w:rPr/>
            <w:t xml:space="preserve"> (LRS bid cap based on incremental costs of a new generator vs. variable costs of highest-cost resource within the LRA): </w:t>
          </w:r>
        </w:p>
        <w:p>
          <w:pPr>
            <w:pStyle w:val="BodyText"/>
            <w:ind w:start="540" w:end="0"/>
            <w:jc w:val="start"/>
            <w:rPr/>
          </w:pPr>
          <w:r>
            <w:rPr/>
            <w:t>Each of the two Alternatives has its own implementation problems, and each needs to be explored further.  The first sends the right price signals, but could result in overpayments if the time lag before implementing a response to the locational pricing signal is too long.   There are also problems with defining the administrative price.  But the second Alternative does not send sufficient price signals. There may be another approach, which could be developed further (see 7.3.5).</w:t>
          </w:r>
        </w:p>
        <w:p>
          <w:pPr>
            <w:pStyle w:val="TOC3"/>
            <w:rPr/>
          </w:pPr>
          <w:r>
            <w:rPr/>
            <w:t>7.3.5</w:t>
            <w:tab/>
            <w:t>Open Issues</w:t>
            <w:tab/>
            <w:t>51</w:t>
          </w:r>
        </w:p>
        <w:p>
          <w:pPr>
            <w:pStyle w:val="BodyText"/>
            <w:ind w:start="288" w:end="0"/>
            <w:jc w:val="start"/>
            <w:rPr/>
          </w:pPr>
          <w:r>
            <w:rPr/>
            <w:t xml:space="preserve">Features that should be added; Why and how: </w:t>
          </w:r>
        </w:p>
        <w:p>
          <w:pPr>
            <w:pStyle w:val="BodyText"/>
            <w:ind w:hanging="252" w:start="540" w:end="0"/>
            <w:jc w:val="start"/>
            <w:rPr/>
          </w:pPr>
          <w:r>
            <w:rPr/>
            <w:tab/>
            <w:t>Both of the alternatives described under Open Issues need to be examined.  Their applicability depends on whether Alternative 1 or Alternative 2 or some hybrid is used.</w:t>
          </w:r>
        </w:p>
        <w:p>
          <w:pPr>
            <w:pStyle w:val="BodyText"/>
            <w:ind w:hanging="252" w:start="540" w:end="0"/>
            <w:jc w:val="start"/>
            <w:rPr/>
          </w:pPr>
          <w:r>
            <w:rPr/>
            <w:t xml:space="preserve">Preference among stated options (LRS costs allocated to PTOs, Loads within the LRA, Loads within a larger area): </w:t>
          </w:r>
        </w:p>
        <w:p>
          <w:pPr>
            <w:pStyle w:val="BodyText"/>
            <w:ind w:start="540" w:end="0"/>
            <w:jc w:val="start"/>
            <w:rPr/>
          </w:pPr>
          <w:r>
            <w:rPr/>
            <w:t>We strongly support the approach of allocating the cost of LRS capacity to the metered load in the LRA. To do anything to the contrary would be to undermine the value of FTRs into the LRA (because SCs should be exposed to the prices of the two alternatives: use FTRs to serve LRA loads, or purchase LRS capacity to serve those same loads).</w:t>
          </w:r>
        </w:p>
        <w:p>
          <w:pPr>
            <w:pStyle w:val="BodyText"/>
            <w:ind w:hanging="252" w:start="540" w:end="0"/>
            <w:jc w:val="start"/>
            <w:rPr/>
          </w:pPr>
          <w:r>
            <w:rPr/>
            <w:t xml:space="preserve">Preference among stated options (Minimum reliability (MR) energy is required to be scheduled in DA market vs. MR energy procured through CONG): </w:t>
          </w:r>
        </w:p>
        <w:p>
          <w:pPr>
            <w:pStyle w:val="BodyText"/>
            <w:ind w:start="540" w:end="0"/>
            <w:jc w:val="start"/>
            <w:rPr/>
          </w:pPr>
          <w:r>
            <w:rPr/>
            <w:t>The first option is far superior, as it incites the market participants to do the job (either through short-term or longer-term deals with the LRS providers.  The second option is very poor, as it increases reliance on an centralized software page (CONG) which we should be striving to use as little as possible.</w:t>
          </w:r>
        </w:p>
        <w:p>
          <w:pPr>
            <w:pStyle w:val="BodyText"/>
            <w:ind w:hanging="252" w:start="540" w:end="0"/>
            <w:jc w:val="start"/>
            <w:rPr/>
          </w:pPr>
          <w:r>
            <w:rPr/>
            <w:t xml:space="preserve">Preference among stated options (Energy bids for unloaded MR capacity capped vs. receives applicable real-time energy price): </w:t>
          </w:r>
        </w:p>
        <w:p>
          <w:pPr>
            <w:pStyle w:val="BodyText"/>
            <w:ind w:hanging="252" w:start="540" w:end="0"/>
            <w:jc w:val="start"/>
            <w:rPr/>
          </w:pPr>
          <w:r>
            <w:rPr/>
            <w:tab/>
            <w:t>Both need further exploration.</w:t>
          </w:r>
        </w:p>
        <w:p>
          <w:pPr>
            <w:pStyle w:val="BodyText"/>
            <w:ind w:hanging="252" w:start="540" w:end="0"/>
            <w:jc w:val="start"/>
            <w:rPr/>
          </w:pPr>
          <w:r>
            <w:rPr/>
            <w:t xml:space="preserve">Preference among stated options (Bid caps expire at the end of a sunset period?): </w:t>
          </w:r>
        </w:p>
        <w:p>
          <w:pPr>
            <w:pStyle w:val="BodyText"/>
            <w:ind w:hanging="252" w:start="540" w:end="0"/>
            <w:jc w:val="start"/>
            <w:rPr/>
          </w:pPr>
          <w:r>
            <w:rPr/>
            <w:tab/>
            <w:t>This makes sense if we pursue Alternative 1.</w:t>
          </w:r>
        </w:p>
        <w:p>
          <w:pPr>
            <w:pStyle w:val="BodyText"/>
            <w:ind w:hanging="252" w:start="540" w:end="0"/>
            <w:jc w:val="start"/>
            <w:rPr/>
          </w:pPr>
          <w:r>
            <w:rPr/>
            <w:t xml:space="preserve">Preference among stated options (Bid caps escalated over time?): </w:t>
          </w:r>
        </w:p>
        <w:p>
          <w:pPr>
            <w:pStyle w:val="BodyText"/>
            <w:ind w:hanging="252" w:start="540" w:end="0"/>
            <w:jc w:val="start"/>
            <w:rPr/>
          </w:pPr>
          <w:r>
            <w:rPr/>
            <w:tab/>
            <w:t>This makes sense only if we pursue Alternative 2.</w:t>
          </w:r>
        </w:p>
        <w:p>
          <w:pPr>
            <w:pStyle w:val="TOC1"/>
            <w:rPr/>
          </w:pPr>
          <w:r>
            <w:rPr/>
            <w:t>8. THE DAY- AND HOUR – AHEAD MARKET</w:t>
            <w:tab/>
            <w:t>51</w:t>
          </w:r>
        </w:p>
        <w:p>
          <w:pPr>
            <w:pStyle w:val="BodyText"/>
            <w:ind w:start="288" w:end="0"/>
            <w:jc w:val="start"/>
            <w:rPr/>
          </w:pPr>
          <w:r>
            <w:rPr/>
            <w:t xml:space="preserve">Features that should be added; Why and how: </w:t>
          </w:r>
        </w:p>
        <w:p>
          <w:pPr>
            <w:pStyle w:val="BodyText"/>
            <w:ind w:start="288" w:end="0"/>
            <w:jc w:val="start"/>
            <w:rPr/>
          </w:pPr>
          <w:r>
            <w:rPr/>
            <w:t>The ISO should give much stronger consideration to the physical rights model.  In that model, there are no day-ahead, ISO-operated "markets" or hour-ahead ISO-operated "markets"; rather, the ISO would operate scheduling processes.  The source of many of the ISO's current dilemmas stem from the presumption that the ISO should operate "markets", which leads to the problems of how to design and operate those "markets."  Under the physical rights approach, this dilemma is eliminated, and the ISO can instead focus on the core issue of what needs to be done to deal with anti-competitive behavior.</w:t>
          </w:r>
        </w:p>
        <w:p>
          <w:pPr>
            <w:pStyle w:val="TOC2"/>
            <w:rPr/>
          </w:pPr>
          <w:r>
            <w:rPr/>
            <w:t>8.1</w:t>
            <w:tab/>
            <w:t>Day-Ahead Congestion Management</w:t>
            <w:tab/>
            <w:t>51</w:t>
          </w:r>
        </w:p>
        <w:p>
          <w:pPr>
            <w:pStyle w:val="BodyText"/>
            <w:ind w:start="288" w:end="0"/>
            <w:jc w:val="start"/>
            <w:rPr/>
          </w:pPr>
          <w:r>
            <w:rPr/>
            <w:t xml:space="preserve">Features that should be kept; Why: </w:t>
          </w:r>
        </w:p>
        <w:p>
          <w:pPr>
            <w:pStyle w:val="BodyText"/>
            <w:ind w:start="288" w:end="0"/>
            <w:jc w:val="start"/>
            <w:rPr/>
          </w:pPr>
          <w:r>
            <w:rPr/>
            <w:t>Assuming that the ISO would operate a day-ahead "market" (see comment on Section 8.1), the ISO's proposed approach is basically sound and a significant improvement over the status quo.</w:t>
          </w:r>
        </w:p>
        <w:p>
          <w:pPr>
            <w:pStyle w:val="TOC3"/>
            <w:rPr/>
          </w:pPr>
          <w:r>
            <w:rPr/>
            <w:t>8.1.2</w:t>
            <w:tab/>
            <w:t>Similarities with the Existing DA CM Approach</w:t>
            <w:tab/>
            <w:t>51</w:t>
          </w:r>
        </w:p>
        <w:p>
          <w:pPr>
            <w:pStyle w:val="BodyText"/>
            <w:ind w:start="288" w:end="0"/>
            <w:jc w:val="start"/>
            <w:rPr/>
          </w:pPr>
          <w:r>
            <w:rPr/>
            <w:t xml:space="preserve">Features that should be kept; Why: </w:t>
          </w:r>
        </w:p>
        <w:p>
          <w:pPr>
            <w:pStyle w:val="BodyText"/>
            <w:ind w:start="288" w:end="0"/>
            <w:jc w:val="start"/>
            <w:rPr/>
          </w:pPr>
          <w:r>
            <w:rPr/>
            <w:t>The use of the simplified commercial model is a very important improvement.  The question is: will the ISO release the model to the public?  If yes, it should state that. If no, then the benefits of the ISO's proposal will  be much, much less.</w:t>
          </w:r>
        </w:p>
        <w:p>
          <w:pPr>
            <w:pStyle w:val="BodyText"/>
            <w:ind w:start="288" w:end="0"/>
            <w:jc w:val="start"/>
            <w:rPr/>
          </w:pPr>
          <w:r>
            <w:rPr/>
            <w:t>The voluntary publication of unused Adjustment Bids is acceptable and fully addresses any argument that the ISO should act as a broker between market participants by compromising the market separation rule.</w:t>
          </w:r>
        </w:p>
        <w:p>
          <w:pPr>
            <w:pStyle w:val="BodyText"/>
            <w:ind w:start="288" w:end="0"/>
            <w:jc w:val="start"/>
            <w:rPr/>
          </w:pPr>
          <w:r>
            <w:rPr/>
            <w:t xml:space="preserve">Features that should be removed or modified; Why and how: </w:t>
          </w:r>
        </w:p>
        <w:p>
          <w:pPr>
            <w:pStyle w:val="BodyText"/>
            <w:ind w:start="288" w:end="0"/>
            <w:jc w:val="start"/>
            <w:rPr/>
          </w:pPr>
          <w:r>
            <w:rPr/>
            <w:t>Granting highest scheduling priority to ETC is discriminatory and unacceptable.  The ISO should honor ETCs, but not grant windfalls to ETC holders at the expense of the market participants who schedule FTRs or other New Firm Uses.  The ISO has given no explanation at all for why ETCs should be granted higher priority than that to which they are contractually entitled.</w:t>
          </w:r>
        </w:p>
        <w:p>
          <w:pPr>
            <w:pStyle w:val="BodyText"/>
            <w:ind w:start="288" w:end="0"/>
            <w:jc w:val="start"/>
            <w:rPr/>
          </w:pPr>
          <w:r>
            <w:rPr/>
            <w:t xml:space="preserve">Features that should be added; Why and how: </w:t>
          </w:r>
        </w:p>
        <w:p>
          <w:pPr>
            <w:pStyle w:val="BodyText"/>
            <w:ind w:start="288" w:end="0"/>
            <w:jc w:val="start"/>
            <w:rPr/>
          </w:pPr>
          <w:r>
            <w:rPr/>
            <w:t>See comment under Section 8.</w:t>
          </w:r>
        </w:p>
        <w:p>
          <w:pPr>
            <w:pStyle w:val="TOC3"/>
            <w:rPr/>
          </w:pPr>
          <w:r>
            <w:rPr/>
            <w:t>8.1.3</w:t>
            <w:tab/>
            <w:t>New Features of Congestion Management</w:t>
            <w:tab/>
            <w:t>52</w:t>
          </w:r>
        </w:p>
        <w:p>
          <w:pPr>
            <w:pStyle w:val="BodyText"/>
            <w:ind w:start="288" w:end="0"/>
            <w:jc w:val="start"/>
            <w:rPr/>
          </w:pPr>
          <w:r>
            <w:rPr/>
            <w:t xml:space="preserve">Features that should be kept; Why: </w:t>
          </w:r>
        </w:p>
        <w:p>
          <w:pPr>
            <w:pStyle w:val="BodyText"/>
            <w:ind w:start="288" w:end="0"/>
            <w:jc w:val="start"/>
            <w:rPr/>
          </w:pPr>
          <w:r>
            <w:rPr/>
            <w:t>New activity rule is OK.  It is what was originally intended.  But none of this is necessary if the ISO considered the physical rights model.</w:t>
          </w:r>
        </w:p>
        <w:p>
          <w:pPr>
            <w:pStyle w:val="BodyText"/>
            <w:ind w:start="288" w:end="0"/>
            <w:jc w:val="start"/>
            <w:rPr/>
          </w:pPr>
          <w:r>
            <w:rPr/>
            <w:t>The inter-SC trades Adjustment Bid capability under Amendment 29 is acceptable, but there is no need to extend this further or to undermine the market by allowing the ISO to make further trades between SCs.</w:t>
          </w:r>
        </w:p>
        <w:p>
          <w:pPr>
            <w:pStyle w:val="BodyText"/>
            <w:ind w:start="288" w:end="0"/>
            <w:jc w:val="start"/>
            <w:rPr/>
          </w:pPr>
          <w:r>
            <w:rPr/>
            <w:t xml:space="preserve">Features that should be added; Why and how: </w:t>
          </w:r>
        </w:p>
        <w:p>
          <w:pPr>
            <w:pStyle w:val="BodyText"/>
            <w:ind w:start="288" w:end="0"/>
            <w:jc w:val="start"/>
            <w:rPr/>
          </w:pPr>
          <w:r>
            <w:rPr/>
            <w:t>The ISO should reconsider the issue of allowing SCs to supply Portfolio Bids for their resource portfolios.  This would be consistent with the use of a simplified commercial model.</w:t>
          </w:r>
        </w:p>
        <w:p>
          <w:pPr>
            <w:pStyle w:val="BodyText"/>
            <w:ind w:start="288" w:end="0"/>
            <w:jc w:val="start"/>
            <w:rPr/>
          </w:pPr>
          <w:r>
            <w:rPr/>
            <w:t>See comment under Section 8.</w:t>
          </w:r>
        </w:p>
        <w:p>
          <w:pPr>
            <w:pStyle w:val="TOC3"/>
            <w:rPr/>
          </w:pPr>
          <w:r>
            <w:rPr/>
            <w:t>8.1.4</w:t>
            <w:tab/>
            <w:t>The Commercial Model</w:t>
            <w:tab/>
            <w:t>53</w:t>
          </w:r>
        </w:p>
        <w:p>
          <w:pPr>
            <w:pStyle w:val="BodyText"/>
            <w:ind w:start="288" w:end="0"/>
            <w:jc w:val="start"/>
            <w:rPr/>
          </w:pPr>
          <w:r>
            <w:rPr/>
            <w:t xml:space="preserve">Features that should be kept; Why: </w:t>
          </w:r>
        </w:p>
        <w:p>
          <w:pPr>
            <w:pStyle w:val="BodyText"/>
            <w:ind w:start="288" w:end="0"/>
            <w:jc w:val="start"/>
            <w:rPr/>
          </w:pPr>
          <w:r>
            <w:rPr/>
            <w:t>We strongly support the move to a commercial model.  This will be of great help to the marketplace… .provided that the ISO's intent is indeed to release the model and supporting data to the market participants.</w:t>
          </w:r>
        </w:p>
        <w:p>
          <w:pPr>
            <w:pStyle w:val="TOC3"/>
            <w:rPr/>
          </w:pPr>
          <w:r>
            <w:rPr/>
            <w:t>8.1.5</w:t>
            <w:tab/>
            <w:t>Network Representation</w:t>
            <w:tab/>
            <w:t>53</w:t>
          </w:r>
        </w:p>
        <w:p>
          <w:pPr>
            <w:pStyle w:val="BodyText"/>
            <w:ind w:start="288" w:end="0"/>
            <w:jc w:val="start"/>
            <w:rPr/>
          </w:pPr>
          <w:r>
            <w:rPr/>
            <w:t xml:space="preserve">Features that should be kept; Why: </w:t>
          </w:r>
        </w:p>
        <w:p>
          <w:pPr>
            <w:pStyle w:val="BodyText"/>
            <w:ind w:start="288" w:end="0"/>
            <w:jc w:val="start"/>
            <w:rPr/>
          </w:pPr>
          <w:r>
            <w:rPr/>
            <w:t xml:space="preserve">This is a good idea and will give market participants more of the information that they need, provided that the information is released to the public well in advance of day-ahead, and provided that the ISO does not fiddle with the network representation (ratings, etc.).  </w:t>
          </w:r>
        </w:p>
        <w:p>
          <w:pPr>
            <w:pStyle w:val="BodyText"/>
            <w:ind w:start="288" w:end="0"/>
            <w:jc w:val="start"/>
            <w:rPr/>
          </w:pPr>
          <w:r>
            <w:rPr/>
            <w:t>The GSFs must also be released to the marketplace well in advance of real-time.  They should be released along with the information that it provided to FTR bidders (as part of the FTR "term sheet.")</w:t>
          </w:r>
        </w:p>
        <w:p>
          <w:pPr>
            <w:pStyle w:val="BodyText"/>
            <w:ind w:start="288" w:end="0"/>
            <w:jc w:val="start"/>
            <w:rPr/>
          </w:pPr>
          <w:r>
            <w:rPr/>
            <w:t>As stated earlier, the ISO should also release the operating rules which define how ETCs are managed (particularly on Path 15).  Releasing the network model may be close to worthless if the ISO does not also demand from the TOs, and release to the market participants, the rules which define ATC!</w:t>
          </w:r>
        </w:p>
        <w:p>
          <w:pPr>
            <w:pStyle w:val="BodyText"/>
            <w:ind w:start="288" w:end="0"/>
            <w:jc w:val="start"/>
            <w:rPr/>
          </w:pPr>
          <w:r>
            <w:rPr/>
            <w:t xml:space="preserve">Features that should be removed or modified; Why and how: </w:t>
          </w:r>
        </w:p>
        <w:p>
          <w:pPr>
            <w:pStyle w:val="BodyText"/>
            <w:ind w:start="288" w:end="0"/>
            <w:jc w:val="start"/>
            <w:rPr/>
          </w:pPr>
          <w:r>
            <w:rPr/>
            <w:t>The proposal to update the library of GSFs on a seasonal or more-frequent basis is very problematic.  It should be removed: t ISO has requested feedback on this issue, and we will provide our suggestions as to how the ISO could best balance the interests of commercial certainty, operational requirements, and uplifts.</w:t>
          </w:r>
        </w:p>
        <w:p>
          <w:pPr>
            <w:pStyle w:val="TOC3"/>
            <w:rPr/>
          </w:pPr>
          <w:r>
            <w:rPr/>
            <w:t>8.1.6</w:t>
            <w:tab/>
            <w:t>The Modeled Constraints</w:t>
            <w:tab/>
            <w:t>54</w:t>
          </w:r>
        </w:p>
        <w:p>
          <w:pPr>
            <w:pStyle w:val="BodyText"/>
            <w:ind w:start="288" w:end="0"/>
            <w:jc w:val="start"/>
            <w:rPr/>
          </w:pPr>
          <w:r>
            <w:rPr/>
            <w:t xml:space="preserve">Features that should be kept; Why: </w:t>
          </w:r>
        </w:p>
        <w:p>
          <w:pPr>
            <w:pStyle w:val="BodyText"/>
            <w:ind w:start="288" w:end="0"/>
            <w:jc w:val="start"/>
            <w:rPr/>
          </w:pPr>
          <w:r>
            <w:rPr/>
            <w:t>The issue of defining the nomogram-based constraints needs more discussion.  It is premature to comment ,except to say that the CRM proposal seems to have a lot of merit in this area.</w:t>
          </w:r>
        </w:p>
        <w:p>
          <w:pPr>
            <w:pStyle w:val="BodyText"/>
            <w:ind w:start="288" w:end="0"/>
            <w:jc w:val="start"/>
            <w:rPr/>
          </w:pPr>
          <w:r>
            <w:rPr/>
            <w:t xml:space="preserve">The ISO's April Appendix on the justification for the market separation rule made clear how important maintaining the integrity of that rule is to the market structure, and we commend the ISO for its restraint by not intruding further into the affairs of the market participants through weakening of the rule. The ISO's proposals to publish voluntary bids, to allow trading through inter-SC Adjustment Bids and to publish much more market information will - coupled with 100% FTR release - allow the market participants to efficiently and completely do the job of managing inter-SC trades.  </w:t>
          </w:r>
        </w:p>
        <w:p>
          <w:pPr>
            <w:pStyle w:val="BodyText"/>
            <w:ind w:start="288" w:end="0"/>
            <w:jc w:val="start"/>
            <w:rPr/>
          </w:pPr>
          <w:r>
            <w:rPr/>
            <w:t xml:space="preserve">Features that should be removed or modified; Why and how: </w:t>
          </w:r>
        </w:p>
        <w:p>
          <w:pPr>
            <w:pStyle w:val="BodyText"/>
            <w:ind w:start="288" w:end="0"/>
            <w:jc w:val="start"/>
            <w:rPr/>
          </w:pPr>
          <w:r>
            <w:rPr/>
            <w:t>The proposal to use a 3000 bus model to calculate purported nodal prices should be dropped.  If not, the first task before the ISO should be to commit to a comprehensive analysis of how the purported nodal prices vary with the many inaccuracies and imprecisions of assumptions and input data into the 3000 bus pricing model.</w:t>
          </w:r>
        </w:p>
        <w:p>
          <w:pPr>
            <w:pStyle w:val="TOC4"/>
            <w:rPr/>
          </w:pPr>
          <w:r>
            <w:rPr/>
            <w:t>8.1.6.1</w:t>
            <w:tab/>
            <w:t>Other Options Considered</w:t>
            <w:tab/>
            <w:t>56</w:t>
          </w:r>
        </w:p>
        <w:p>
          <w:pPr>
            <w:pStyle w:val="BodyText"/>
            <w:ind w:start="288" w:end="0"/>
            <w:jc w:val="start"/>
            <w:rPr/>
          </w:pPr>
          <w:r>
            <w:rPr/>
            <w:t xml:space="preserve">Features that should be removed or modified; Why and how: </w:t>
          </w:r>
        </w:p>
        <w:p>
          <w:pPr>
            <w:pStyle w:val="BodyText"/>
            <w:ind w:start="288" w:end="0"/>
            <w:jc w:val="start"/>
            <w:rPr/>
          </w:pPr>
          <w:r>
            <w:rPr/>
            <w:t>The "voluntary" relaxation of the market separation rule should not receive further consideration.  The concept of the ISO "standing ready" as a provider of last resort" would undermine all incentives for the marketplace to do its job, just as the ISO's present role as PLR for FTRs and ancillary services have undermined the development of competitive exchanges for FTRs and ancillary services.  No rational entity would expend serious effort to offer services in competition with the ISO, since the ISO would "make the rules", sell the service for free, and then enforce the rules!   Further consideration of the "voluntary" relaxation of the market separation rule should be tabled so we can move on to addressing the key issues that still need to be considered in congestion reform.  In addition, the new features of the CRM discussed earlier should be given an opportunity to work before considering more ISO intrusion into the marketplace.</w:t>
          </w:r>
        </w:p>
        <w:p>
          <w:pPr>
            <w:pStyle w:val="TOC3"/>
            <w:rPr/>
          </w:pPr>
          <w:r>
            <w:rPr/>
            <w:t>8.1.7</w:t>
            <w:tab/>
            <w:t>Pricing (Including Cost Allocation)</w:t>
            <w:tab/>
            <w:t>56</w:t>
          </w:r>
        </w:p>
        <w:p>
          <w:pPr>
            <w:pStyle w:val="BodyText"/>
            <w:ind w:start="288" w:end="0"/>
            <w:jc w:val="start"/>
            <w:rPr/>
          </w:pPr>
          <w:r>
            <w:rPr/>
            <w:t xml:space="preserve">Features that should be removed or modified; Why and how: </w:t>
          </w:r>
        </w:p>
        <w:p>
          <w:pPr>
            <w:pStyle w:val="BodyText"/>
            <w:ind w:start="270" w:end="0"/>
            <w:jc w:val="start"/>
            <w:rPr/>
          </w:pPr>
          <w:r>
            <w:rPr/>
            <w:t>The concept of a transmission upgrade fund (Option 3) has no merit. The decision to build/not-build should not be influenced one iota by whether or not there happens to be money sitting in a pot.   Uneconomic over-expansion will occur if the decision to build is facilitated by having spare money lying around.  And uneconomic under-building will occur if the decision to build is delayed by waiting for money to be available (vs. borrowing the money).</w:t>
          </w:r>
        </w:p>
        <w:p>
          <w:pPr>
            <w:pStyle w:val="TOC3"/>
            <w:rPr/>
          </w:pPr>
          <w:r>
            <w:rPr/>
            <w:t>8.1.8</w:t>
            <w:tab/>
            <w:t>Open Issues</w:t>
            <w:tab/>
            <w:t>57</w:t>
          </w:r>
        </w:p>
        <w:p>
          <w:pPr>
            <w:pStyle w:val="BodyText"/>
            <w:ind w:start="288" w:end="0"/>
            <w:jc w:val="start"/>
            <w:rPr/>
          </w:pPr>
          <w:r>
            <w:rPr/>
            <w:t xml:space="preserve">Features that should be kept; Why: </w:t>
          </w:r>
        </w:p>
        <w:p>
          <w:pPr>
            <w:pStyle w:val="BodyText"/>
            <w:ind w:start="288" w:end="0"/>
            <w:jc w:val="start"/>
            <w:rPr/>
          </w:pPr>
          <w:r>
            <w:rPr/>
            <w:t>Yes, the issues in this category are very important and need to be addressed in a way that balances commercial and operational needs.  We will offer suggestions on these issues when requested to do so.</w:t>
          </w:r>
        </w:p>
        <w:p>
          <w:pPr>
            <w:pStyle w:val="TOC3"/>
            <w:rPr/>
          </w:pPr>
          <w:r>
            <w:rPr/>
            <w:t>8.1.9</w:t>
            <w:tab/>
            <w:t>Other Options Considered</w:t>
            <w:tab/>
            <w:t>58</w:t>
          </w:r>
        </w:p>
        <w:p>
          <w:pPr>
            <w:pStyle w:val="BodyText"/>
            <w:ind w:start="288" w:end="0"/>
            <w:jc w:val="start"/>
            <w:rPr/>
          </w:pPr>
          <w:r>
            <w:rPr/>
            <w:t xml:space="preserve">Features that should be removed or modified; Why and how: </w:t>
          </w:r>
        </w:p>
        <w:p>
          <w:pPr>
            <w:pStyle w:val="BodyText"/>
            <w:ind w:start="288" w:end="0"/>
            <w:jc w:val="start"/>
            <w:rPr/>
          </w:pPr>
          <w:r>
            <w:rPr/>
            <w:t>The two proposals in this section (nodal pricing and Poolco) should be dropped. They are impractical, and are entirely inconsistent with the market-focused principles described earlier in the document.  Consideration of these proposals (whether in their pure form or cloaked as Trojan Horses under the rubric of "voluntary" nodal pricing and "voluntary" relaxation of market separation) would be tantamount to rejection of virtually all of the stakeholder and ISO principles described earlier in the document.</w:t>
          </w:r>
        </w:p>
        <w:p>
          <w:pPr>
            <w:pStyle w:val="TOC2"/>
            <w:rPr/>
          </w:pPr>
          <w:r>
            <w:rPr/>
            <w:t>8.2</w:t>
            <w:tab/>
            <w:t>Hour-Ahead Congestion Management and Day-of LRS</w:t>
            <w:tab/>
            <w:t>59</w:t>
          </w:r>
        </w:p>
        <w:p>
          <w:pPr>
            <w:pStyle w:val="BodyText"/>
            <w:ind w:start="288" w:end="0"/>
            <w:jc w:val="start"/>
            <w:rPr/>
          </w:pPr>
          <w:r>
            <w:rPr/>
            <w:t xml:space="preserve">Features that should be added; Why and how: </w:t>
          </w:r>
        </w:p>
        <w:p>
          <w:pPr>
            <w:pStyle w:val="BodyText"/>
            <w:ind w:start="288" w:end="0"/>
            <w:jc w:val="start"/>
            <w:rPr/>
          </w:pPr>
          <w:r>
            <w:rPr/>
            <w:t>As described earlier (see Comment on Section 8), the use of a physical rights model would transform the hour-ahead process to a post-day-ahead scheduling process, similar to that contemplated by Desert STAR and the NWRTO.  This would result in many simplifications and a more stable energy marketplace.</w:t>
          </w:r>
        </w:p>
        <w:p>
          <w:pPr>
            <w:pStyle w:val="TOC2"/>
            <w:rPr/>
          </w:pPr>
          <w:r>
            <w:rPr/>
            <w:t>8.3</w:t>
            <w:tab/>
            <w:t>Ancillary Services in Congestion Management</w:t>
            <w:tab/>
            <w:t>59</w:t>
          </w:r>
        </w:p>
        <w:p>
          <w:pPr>
            <w:pStyle w:val="BodyText"/>
            <w:ind w:start="288" w:end="0"/>
            <w:jc w:val="start"/>
            <w:rPr/>
          </w:pPr>
          <w:r>
            <w:rPr/>
            <w:t xml:space="preserve">Features that should be added; Why and how: </w:t>
          </w:r>
        </w:p>
        <w:p>
          <w:pPr>
            <w:pStyle w:val="BodyText"/>
            <w:ind w:start="288" w:end="0"/>
            <w:jc w:val="start"/>
            <w:rPr/>
          </w:pPr>
          <w:r>
            <w:rPr/>
            <w:t>The ISO should completely reconsider its approach to ancillary services. Rather than conduct within-the-ISO procurement processes which dominate the entire marketplace and place an inordinate burden on the ISO, as a monopsony purchaser, to try to design and operate a market (another oxymoron), the ISO should consider outsourcing the ancillary services provision function to external-to-the-ISO, continuously-operating electronic exchanges.  This would, in conjunction with a physical rights model, eliminate all of the thorny problems which are described in this portion of the CMR proposal.</w:t>
          </w:r>
        </w:p>
        <w:p>
          <w:pPr>
            <w:pStyle w:val="TOC3"/>
            <w:rPr/>
          </w:pPr>
          <w:r>
            <w:rPr/>
            <w:t>8.3.2</w:t>
            <w:tab/>
            <w:t>An Alternative Approach</w:t>
            <w:tab/>
            <w:t>60</w:t>
          </w:r>
        </w:p>
        <w:p>
          <w:pPr>
            <w:pStyle w:val="BodyText"/>
            <w:ind w:start="288" w:end="0"/>
            <w:jc w:val="start"/>
            <w:rPr/>
          </w:pPr>
          <w:r>
            <w:rPr/>
            <w:t xml:space="preserve">Features that should be kept; Why: </w:t>
          </w:r>
        </w:p>
        <w:p>
          <w:pPr>
            <w:pStyle w:val="BodyText"/>
            <w:ind w:start="288" w:end="0"/>
            <w:jc w:val="start"/>
            <w:rPr/>
          </w:pPr>
          <w:r>
            <w:rPr/>
            <w:t>The alternative approach is a reasonable interim step towards the outcome described in the comment above.  It will improve the efficiency of the marketplace in the interim</w:t>
          </w:r>
        </w:p>
        <w:p>
          <w:pPr>
            <w:pStyle w:val="TOC3"/>
            <w:rPr/>
          </w:pPr>
          <w:r>
            <w:rPr/>
            <w:t>8.3.3</w:t>
            <w:tab/>
            <w:t>Other Options Considered</w:t>
            <w:tab/>
            <w:t>60</w:t>
          </w:r>
        </w:p>
        <w:p>
          <w:pPr>
            <w:pStyle w:val="BodyText"/>
            <w:ind w:start="288" w:end="0"/>
            <w:jc w:val="start"/>
            <w:rPr/>
          </w:pPr>
          <w:r>
            <w:rPr/>
            <w:t xml:space="preserve">Features that should be removed or modified; Why and how: </w:t>
          </w:r>
        </w:p>
        <w:p>
          <w:pPr>
            <w:pStyle w:val="BodyText"/>
            <w:ind w:start="288" w:end="0"/>
            <w:jc w:val="start"/>
            <w:rPr/>
          </w:pPr>
          <w:r>
            <w:rPr/>
            <w:t>Full AS/CONG integration cannot be done "efficiently" without moving completely to centralized dispatch and rebundling of energy, transmission and ancillary services.  This should be recognized from the outset, and therefore this alternative should be rejected as inconsistent with the market design and stakeholder principles.  Efficiency can be achieved through decentralized markets; and in theory it can be achieved through centralized markets; but there is no middle ground.</w:t>
          </w:r>
        </w:p>
        <w:p>
          <w:pPr>
            <w:pStyle w:val="TOC2"/>
            <w:rPr/>
          </w:pPr>
          <w:r>
            <w:rPr/>
            <w:t>8.4</w:t>
            <w:tab/>
            <w:t>Recallable Transmission</w:t>
            <w:tab/>
            <w:t>62</w:t>
          </w:r>
        </w:p>
        <w:p>
          <w:pPr>
            <w:pStyle w:val="BodyText"/>
            <w:ind w:start="288" w:end="0"/>
            <w:jc w:val="start"/>
            <w:rPr/>
          </w:pPr>
          <w:r>
            <w:rPr/>
            <w:t xml:space="preserve">Features that should be kept; Why: </w:t>
          </w:r>
        </w:p>
        <w:p>
          <w:pPr>
            <w:pStyle w:val="BodyText"/>
            <w:ind w:start="288" w:end="0"/>
            <w:jc w:val="start"/>
            <w:rPr/>
          </w:pPr>
          <w:r>
            <w:rPr/>
            <w:t>The recallable transmission rights concept is a good start in the right direction.  However, it will be hampered by the necessity to implement it within the CONG program.  In fact, if the implementation approach would defacto lead to the ISO trading energy within CONG (through a relaxation of the Market Separation rule), then the entire concept of recallable rights should be dropped.  (The market participants could develop most of this product, once 100% FTR release was achieved and external electronic exchanges were allowed to function.)</w:t>
          </w:r>
        </w:p>
        <w:p>
          <w:pPr>
            <w:pStyle w:val="BodyText"/>
            <w:ind w:start="288" w:end="0"/>
            <w:jc w:val="start"/>
            <w:rPr/>
          </w:pPr>
          <w:r>
            <w:rPr/>
            <w:t xml:space="preserve">Features that should be removed or modified; Why and how: </w:t>
          </w:r>
        </w:p>
        <w:p>
          <w:pPr>
            <w:pStyle w:val="BodyText"/>
            <w:ind w:start="288" w:end="0"/>
            <w:jc w:val="start"/>
            <w:rPr/>
          </w:pPr>
          <w:r>
            <w:rPr/>
            <w:t>See comment above.</w:t>
          </w:r>
        </w:p>
        <w:p>
          <w:pPr>
            <w:pStyle w:val="BodyText"/>
            <w:ind w:start="288" w:end="0"/>
            <w:jc w:val="start"/>
            <w:rPr/>
          </w:pPr>
          <w:r>
            <w:rPr/>
            <w:t>We see no reason why the congestion revenues from recallable transmission should be paid to ETC holders (as they are giving up no rights whatsoever, having given up no recall optionality), unless the ETC contracts explicitly entitle them to such revenues. On the other hand, if the ETC holders do give up a recall option, then they should be entitled to some or all of the revenues.</w:t>
          </w:r>
        </w:p>
        <w:p>
          <w:pPr>
            <w:pStyle w:val="BodyText"/>
            <w:ind w:start="288" w:end="0"/>
            <w:jc w:val="start"/>
            <w:rPr/>
          </w:pPr>
          <w:r>
            <w:rPr/>
            <w:t xml:space="preserve">Features that should be added; Why and how: </w:t>
          </w:r>
        </w:p>
        <w:p>
          <w:pPr>
            <w:pStyle w:val="BodyText"/>
            <w:ind w:start="288" w:end="0"/>
            <w:jc w:val="start"/>
            <w:rPr/>
          </w:pPr>
          <w:r>
            <w:rPr/>
            <w:t>In conjunction with a reconsideration of the physical rights proposal, the concepts of recallable rights embodied in the Mountain West ISA and Desert STAR ISO documents should also be considered.  Under those concepts, non-scheduled firm transmission rights would also be available for use as recallable rights, giving market participants much more flexibility.</w:t>
          </w:r>
        </w:p>
        <w:p>
          <w:pPr>
            <w:pStyle w:val="TOC3"/>
            <w:rPr/>
          </w:pPr>
          <w:r>
            <w:rPr/>
            <w:t>8.4.1</w:t>
            <w:tab/>
            <w:t>Other Options Considered</w:t>
            <w:tab/>
            <w:t>64</w:t>
          </w:r>
        </w:p>
        <w:p>
          <w:pPr>
            <w:pStyle w:val="BodyText"/>
            <w:ind w:start="288" w:end="0"/>
            <w:jc w:val="start"/>
            <w:rPr/>
          </w:pPr>
          <w:r>
            <w:rPr/>
            <w:t xml:space="preserve">Features that should be removed or modified; Why and how: </w:t>
          </w:r>
        </w:p>
        <w:p>
          <w:pPr>
            <w:pStyle w:val="BodyText"/>
            <w:ind w:start="288" w:end="0"/>
            <w:jc w:val="start"/>
            <w:rPr/>
          </w:pPr>
          <w:r>
            <w:rPr/>
            <w:t>We see no advantage to this option, only additional uncertainty and operational confusion for both the ISO and market participants.</w:t>
          </w:r>
        </w:p>
        <w:p>
          <w:pPr>
            <w:pStyle w:val="TOC1"/>
            <w:rPr/>
          </w:pPr>
          <w:r>
            <w:rPr/>
            <w:t xml:space="preserve">9. </w:t>
            <w:tab/>
            <w:t>THE REAL TIME MARKET</w:t>
            <w:tab/>
            <w:t>65</w:t>
          </w:r>
        </w:p>
        <w:p>
          <w:pPr>
            <w:pStyle w:val="BodyText"/>
            <w:ind w:start="288" w:end="0"/>
            <w:jc w:val="start"/>
            <w:rPr/>
          </w:pPr>
          <w:r>
            <w:rPr/>
            <w:t xml:space="preserve">Features that should be kept; Why: </w:t>
          </w:r>
        </w:p>
        <w:p>
          <w:pPr>
            <w:pStyle w:val="BodyText"/>
            <w:ind w:start="288" w:end="0"/>
            <w:jc w:val="start"/>
            <w:rPr/>
          </w:pPr>
          <w:r>
            <w:rPr/>
            <w:t>The use of the simplified commercial model in real-time is a good step forward.  (However, the text on page 18 - the parenthetical after item 2 in the nodal pricing box - appears to be inconsistent with what is written in Section 9.)</w:t>
          </w:r>
        </w:p>
        <w:p>
          <w:pPr>
            <w:pStyle w:val="BodyText"/>
            <w:ind w:start="288" w:end="0"/>
            <w:jc w:val="start"/>
            <w:rPr/>
          </w:pPr>
          <w:r>
            <w:rPr/>
            <w:t xml:space="preserve">Features that should be removed or modified; Why and how: </w:t>
          </w:r>
        </w:p>
        <w:p>
          <w:pPr>
            <w:pStyle w:val="BodyText"/>
            <w:ind w:start="288" w:end="0"/>
            <w:jc w:val="start"/>
            <w:rPr/>
          </w:pPr>
          <w:r>
            <w:rPr/>
            <w:t>At this time, pending further discussion as to the details of: (i) the real-time operation proposal, (ii) the calculation of the real-time price, and (iii) issues related to market separation in the forward markets, we reserve judgment as to whether or not the proposal to relax the market separation rule in real time and to use global optimization in real-time is reasonable or supportable.</w:t>
          </w:r>
        </w:p>
        <w:p>
          <w:pPr>
            <w:pStyle w:val="TOC2"/>
            <w:rPr/>
          </w:pPr>
          <w:r>
            <w:rPr/>
            <w:t>9.1</w:t>
            <w:tab/>
            <w:t>Network Representation</w:t>
            <w:tab/>
            <w:t>65</w:t>
          </w:r>
        </w:p>
        <w:p>
          <w:pPr>
            <w:pStyle w:val="BodyText"/>
            <w:ind w:start="288" w:end="0"/>
            <w:jc w:val="start"/>
            <w:rPr/>
          </w:pPr>
          <w:r>
            <w:rPr/>
            <w:t xml:space="preserve">Features that should be kept; Why: </w:t>
          </w:r>
        </w:p>
        <w:p>
          <w:pPr>
            <w:pStyle w:val="BodyText"/>
            <w:ind w:start="288" w:end="0"/>
            <w:jc w:val="start"/>
            <w:rPr/>
          </w:pPr>
          <w:r>
            <w:rPr/>
            <w:t>See above.</w:t>
          </w:r>
        </w:p>
        <w:p>
          <w:pPr>
            <w:pStyle w:val="BodyText"/>
            <w:ind w:start="288" w:end="0"/>
            <w:jc w:val="start"/>
            <w:rPr/>
          </w:pPr>
          <w:r>
            <w:rPr/>
            <w:t xml:space="preserve">Features that should be removed or modified; Why and how: </w:t>
          </w:r>
        </w:p>
        <w:p>
          <w:pPr>
            <w:pStyle w:val="BodyText"/>
            <w:ind w:start="288" w:end="0"/>
            <w:jc w:val="start"/>
            <w:rPr/>
          </w:pPr>
          <w:r>
            <w:rPr/>
            <w:t>See above.</w:t>
          </w:r>
        </w:p>
        <w:p>
          <w:pPr>
            <w:pStyle w:val="BodyText"/>
            <w:ind w:start="288" w:end="0"/>
            <w:jc w:val="start"/>
            <w:rPr/>
          </w:pPr>
          <w:r>
            <w:rPr/>
            <w:t xml:space="preserve">Features that should be added; Why and how: </w:t>
          </w:r>
        </w:p>
        <w:p>
          <w:pPr>
            <w:pStyle w:val="BodyText"/>
            <w:ind w:start="288" w:end="0"/>
            <w:jc w:val="start"/>
            <w:rPr/>
          </w:pPr>
          <w:r>
            <w:rPr/>
            <w:t>The ISO's simplified commercial model should be released to the market participants.  And as the parameters that are used in the model are updated in real-time, those updates should be immediately posted on the ISO website.</w:t>
          </w:r>
        </w:p>
        <w:p>
          <w:pPr>
            <w:pStyle w:val="TOC2"/>
            <w:rPr/>
          </w:pPr>
          <w:r>
            <w:rPr/>
            <w:t>9.2</w:t>
            <w:tab/>
            <w:t>Imbalance Energy Procurement and Congestion Management</w:t>
            <w:tab/>
            <w:t>65</w:t>
          </w:r>
        </w:p>
        <w:p>
          <w:pPr>
            <w:pStyle w:val="BodyText"/>
            <w:ind w:start="288" w:end="0"/>
            <w:jc w:val="start"/>
            <w:rPr/>
          </w:pPr>
          <w:r>
            <w:rPr/>
            <w:t xml:space="preserve">Features that should be added; Why and how: </w:t>
          </w:r>
        </w:p>
        <w:p>
          <w:pPr>
            <w:pStyle w:val="BodyText"/>
            <w:ind w:start="288" w:end="0"/>
            <w:jc w:val="start"/>
            <w:rPr/>
          </w:pPr>
          <w:r>
            <w:rPr/>
            <w:t>The basics of the proposal warrant more discussion.  See concerns raised above.</w:t>
          </w:r>
        </w:p>
        <w:p>
          <w:pPr>
            <w:pStyle w:val="TOC2"/>
            <w:rPr/>
          </w:pPr>
          <w:r>
            <w:rPr/>
            <w:t>9.3</w:t>
            <w:tab/>
            <w:t>Pricing and Cost Allocation</w:t>
            <w:tab/>
            <w:t>68</w:t>
          </w:r>
        </w:p>
        <w:p>
          <w:pPr>
            <w:pStyle w:val="BodyText"/>
            <w:ind w:start="288" w:end="0"/>
            <w:jc w:val="start"/>
            <w:rPr/>
          </w:pPr>
          <w:r>
            <w:rPr/>
            <w:t xml:space="preserve">Features that should be kept; Why: </w:t>
          </w:r>
        </w:p>
        <w:p>
          <w:pPr>
            <w:pStyle w:val="BodyText"/>
            <w:ind w:start="288" w:end="0"/>
            <w:jc w:val="start"/>
            <w:rPr/>
          </w:pPr>
          <w:r>
            <w:rPr/>
            <w:t xml:space="preserve">Features that should be removed or modified; Why and how: </w:t>
          </w:r>
        </w:p>
        <w:p>
          <w:pPr>
            <w:pStyle w:val="BodyText"/>
            <w:ind w:start="288" w:end="0"/>
            <w:jc w:val="start"/>
            <w:rPr/>
          </w:pPr>
          <w:r>
            <w:rPr/>
            <w:t xml:space="preserve">The entire pricing proposal should be restructured. If the ISO moves to a single, global real-time dispatch, then the ISO should also price </w:t>
          </w:r>
          <w:r>
            <w:rPr>
              <w:i/>
            </w:rPr>
            <w:t>all</w:t>
          </w:r>
          <w:r>
            <w:rPr/>
            <w:t xml:space="preserve"> imbalance energy - whether instructed or uninstructed - at the same real-time price.  There should be no reason for a multiplicity of prices (incremental MCP, decremental MCP, etc.)  The concept of multiple real-time prices is inconsistent with the concept of a liquid spot market (which is the only rationale for the ISO's performance of least-cost, non-market separation optimization).</w:t>
          </w:r>
        </w:p>
        <w:p>
          <w:pPr>
            <w:pStyle w:val="BodyText"/>
            <w:ind w:start="288" w:end="0"/>
            <w:jc w:val="start"/>
            <w:rPr/>
          </w:pPr>
          <w:r>
            <w:rPr/>
            <w:t xml:space="preserve">Features that should be added; Why and how: </w:t>
          </w:r>
        </w:p>
        <w:p>
          <w:pPr>
            <w:pStyle w:val="BodyText"/>
            <w:ind w:start="288" w:end="0"/>
            <w:jc w:val="start"/>
            <w:rPr/>
          </w:pPr>
          <w:r>
            <w:rPr/>
            <w:t>Alternative methods for conveying real-time prices and dispatching should be discussed in the future CMR work groups.</w:t>
          </w:r>
        </w:p>
        <w:p>
          <w:pPr>
            <w:pStyle w:val="TOC1"/>
            <w:rPr/>
          </w:pPr>
          <w:r>
            <w:rPr/>
            <w:t>10.</w:t>
            <w:tab/>
            <w:t>ECONOMIC SIGNALS, REVENUE ALLOCATION, AND COST OBLIGATION</w:t>
            <w:tab/>
            <w:t>71</w:t>
          </w:r>
        </w:p>
        <w:p>
          <w:pPr>
            <w:pStyle w:val="TOC2"/>
            <w:rPr/>
          </w:pPr>
          <w:r>
            <w:rPr/>
            <w:t>10.2</w:t>
            <w:tab/>
            <w:t>Summary of Pricing and Allocation of Costs and Revenues</w:t>
            <w:tab/>
            <w:t>73</w:t>
          </w:r>
        </w:p>
        <w:p>
          <w:pPr>
            <w:pStyle w:val="BodyText"/>
            <w:ind w:start="288" w:end="0"/>
            <w:jc w:val="start"/>
            <w:rPr/>
          </w:pPr>
          <w:r>
            <w:rPr/>
            <w:t xml:space="preserve">Features that should be removed or modified; Why and how: </w:t>
          </w:r>
        </w:p>
        <w:p>
          <w:pPr>
            <w:pStyle w:val="BodyText"/>
            <w:ind w:start="288" w:end="0"/>
            <w:jc w:val="start"/>
            <w:rPr/>
          </w:pPr>
          <w:r>
            <w:rPr/>
            <w:t>Pricing needs to be consistent.  Thus, is day-ahead charges for inter-LPA pathways are assessed to SCs, then LRS auction costs need to be allocated to SCs as well (and not to the PTO); otherwise the value of FTRs will be eliminated or subject to random fluctuations depending on ISO actions in the LRS arena.</w:t>
          </w:r>
        </w:p>
        <w:p>
          <w:pPr>
            <w:pStyle w:val="BodyText"/>
            <w:ind w:start="288" w:end="0"/>
            <w:jc w:val="start"/>
            <w:rPr/>
          </w:pPr>
          <w:r>
            <w:rPr/>
            <w:t xml:space="preserve">Features that should be added; Why and how: </w:t>
          </w:r>
        </w:p>
        <w:p>
          <w:pPr>
            <w:pStyle w:val="TOC3"/>
            <w:rPr/>
          </w:pPr>
          <w:r>
            <w:rPr/>
            <w:t>10.4.2</w:t>
            <w:tab/>
            <w:t>New-Generator Interconnection Policy</w:t>
            <w:tab/>
            <w:t>78</w:t>
          </w:r>
        </w:p>
        <w:p>
          <w:pPr>
            <w:pStyle w:val="BodyText"/>
            <w:ind w:start="288" w:end="0"/>
            <w:jc w:val="start"/>
            <w:rPr/>
          </w:pPr>
          <w:r>
            <w:rPr/>
            <w:t xml:space="preserve">Features that should be kept; Why: </w:t>
          </w:r>
        </w:p>
        <w:p>
          <w:pPr>
            <w:pStyle w:val="BodyText"/>
            <w:ind w:start="288" w:end="0"/>
            <w:jc w:val="start"/>
            <w:rPr/>
          </w:pPr>
          <w:r>
            <w:rPr/>
            <w:t>The NGIP discussion observes that there remains a conflict between the nirvana of zero barriers to entry for new generators and the needs for reasonable locational siting signals to new generators and for reasonable pricing certainty for entities that have spent hundreds of millions of dollars in locating new facilities.</w:t>
          </w:r>
        </w:p>
        <w:p>
          <w:pPr>
            <w:pStyle w:val="BodyText"/>
            <w:ind w:start="288" w:end="0"/>
            <w:jc w:val="start"/>
            <w:rPr/>
          </w:pPr>
          <w:r>
            <w:rPr/>
            <w:t xml:space="preserve">Enron continues to support the NGIP policy that was filed with FERC and believes that the ISO's CMR proposal addresses - through the mitigation of locational market power - all of the substantive concerns raised by the FERC when the FERC rejected the proposal.  We believe that no changes will be needed to that NGIP policy, which already embodied significant compromises between all of the parties involved in the development of the NGIP.  However, we remain open to discussing whether there are </w:t>
          </w:r>
          <w:r>
            <w:rPr>
              <w:i/>
            </w:rPr>
            <w:t>new</w:t>
          </w:r>
          <w:r>
            <w:rPr/>
            <w:t xml:space="preserve"> alternatives which can satisfy the needs of both sides to the debate over a new generation interconnection policy. </w:t>
          </w:r>
        </w:p>
        <w:p>
          <w:pPr>
            <w:pStyle w:val="TOC1"/>
            <w:rPr/>
          </w:pPr>
          <w:r>
            <w:rPr/>
            <w:t>11.</w:t>
            <w:tab/>
            <w:t>FERC's ORDER 2000</w:t>
            <w:tab/>
            <w:t>80</w:t>
          </w:r>
        </w:p>
        <w:p>
          <w:pPr>
            <w:pStyle w:val="TOC2"/>
            <w:rPr/>
          </w:pPr>
          <w:r>
            <w:rPr/>
            <w:t>11.1</w:t>
            <w:tab/>
            <w:t>Order No. 2000 and Congestion Management</w:t>
            <w:tab/>
            <w:t>80</w:t>
          </w:r>
        </w:p>
        <w:p>
          <w:pPr>
            <w:pStyle w:val="BodyText"/>
            <w:ind w:start="288" w:end="0"/>
            <w:jc w:val="start"/>
            <w:rPr/>
          </w:pPr>
          <w:r>
            <w:rPr/>
            <w:t>Overall Comments:</w:t>
          </w:r>
        </w:p>
        <w:p>
          <w:pPr>
            <w:pStyle w:val="BodyText"/>
            <w:ind w:start="288" w:end="0"/>
            <w:jc w:val="start"/>
            <w:rPr/>
          </w:pPr>
          <w:r>
            <w:rPr/>
            <w:t>The discussion of FERC's attitude towards alternatives to LMP (at the top of page 81) is a mischaracterization of both the Commission's acceptance of LMP and its interest in alternatives.  FERC has not relegated alternatives to LMP to second-class status or to "regions where congestion is minor or infrequent."  This very negative mischaracterization should be redrafted.</w:t>
          </w:r>
        </w:p>
        <w:p>
          <w:pPr>
            <w:pStyle w:val="TOC2"/>
            <w:rPr/>
          </w:pPr>
          <w:r>
            <w:rPr/>
            <w:t>11.2</w:t>
            <w:tab/>
            <w:t>Order No. 2000 and Interregional Coordination</w:t>
            <w:tab/>
            <w:t>81</w:t>
          </w:r>
        </w:p>
        <w:p>
          <w:pPr>
            <w:pStyle w:val="BodyText"/>
            <w:ind w:start="288" w:end="0"/>
            <w:jc w:val="start"/>
            <w:rPr/>
          </w:pPr>
          <w:r>
            <w:rPr/>
            <w:t>Overall Comments:</w:t>
          </w:r>
        </w:p>
        <w:p>
          <w:pPr>
            <w:pStyle w:val="BodyText"/>
            <w:ind w:start="288" w:end="0"/>
            <w:jc w:val="start"/>
            <w:rPr/>
          </w:pPr>
          <w:r>
            <w:rPr/>
            <w:t>The RTO West paragraph can be updated.  The consensus in the working groups has been to adopt a flowgate-zonal physical rights model, very similar to that adopted in MWISA and Desert STAR.</w:t>
          </w:r>
          <w:r>
            <w:rPr/>
            <w:fldChar w:fldCharType="end"/>
          </w:r>
        </w:p>
      </w:sdtContent>
    </w:sdt>
    <w:p>
      <w:pPr>
        <w:pStyle w:val="BodyText"/>
        <w:ind w:start="288" w:end="0"/>
        <w:jc w:val="start"/>
        <w:rPr/>
      </w:pPr>
      <w:r>
        <w:rPr/>
      </w:r>
    </w:p>
    <w:p>
      <w:pPr>
        <w:pStyle w:val="TOC1"/>
        <w:rPr/>
      </w:pPr>
      <w:r>
        <w:rPr/>
        <w:t>APPENDIX B - LOCATIONAL PRICE DISPERSION STUDY</w:t>
      </w:r>
    </w:p>
    <w:p>
      <w:pPr>
        <w:pStyle w:val="BodyText"/>
        <w:ind w:start="288" w:end="0"/>
        <w:jc w:val="start"/>
        <w:rPr/>
      </w:pPr>
      <w:r>
        <w:rPr/>
        <w:t>General Comments:</w:t>
      </w:r>
    </w:p>
    <w:p>
      <w:pPr>
        <w:pStyle w:val="BodyText"/>
        <w:spacing w:before="0" w:after="220"/>
        <w:ind w:start="270" w:end="0"/>
        <w:jc w:val="start"/>
        <w:rPr/>
      </w:pPr>
      <w:r>
        <w:rPr/>
        <w:t>The ISO staff should be commended for all of the effort than went into producing the results in this complex study.  The results, while preliminary, seem to provide strong support for the reasonableness of the basic approaches in the CMR proposal.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Stakeholder Feedback Template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r>
      <w:rPr>
        <w:rStyle w:val="PageNumber"/>
        <w:b w:val="false"/>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23</w:t>
    </w:r>
    <w:r>
      <w:rPr>
        <w:rStyle w:val="PageNumber"/>
      </w:rPr>
      <w:fldChar w:fldCharType="end"/>
    </w:r>
    <w:r>
      <w:rPr>
        <w:rStyle w:val="PageNumber"/>
        <w:b w:val="false"/>
      </w:rPr>
      <w:tab/>
    </w:r>
    <w:r>
      <w:rPr>
        <w:rStyle w:val="PageNumber"/>
        <w:b w:val="false"/>
      </w:rPr>
      <w:fldChar w:fldCharType="begin"/>
    </w:r>
    <w:r>
      <w:rPr>
        <w:rStyle w:val="PageNumber"/>
        <w:b w:val="false"/>
      </w:rPr>
      <w:instrText xml:space="preserve"> DATE \@"yyyy\-MM\-dd" </w:instrText>
    </w:r>
    <w:r>
      <w:rPr>
        <w:rStyle w:val="PageNumber"/>
        <w:b w:val="false"/>
      </w:rPr>
      <w:fldChar w:fldCharType="separate"/>
    </w:r>
    <w:r>
      <w:rPr>
        <w:rStyle w:val="PageNumber"/>
        <w:b w:val="false"/>
      </w:rPr>
      <w:t>2025-09-28</w:t>
    </w:r>
    <w:r>
      <w:rPr>
        <w:rStyle w:val="PageNumber"/>
        <w:b w:val="false"/>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Stakeholder Feedback Template</w:t>
      <w:tab/>
    </w:r>
    <w:r>
      <w:rPr>
        <w:rStyle w:val="PageNumber"/>
        <w:b w:val="false"/>
      </w:rPr>
      <w:tab/>
    </w:r>
    <w:r>
      <w:rPr>
        <w:rStyle w:val="PageNumber"/>
        <w:b w:val="false"/>
      </w:rPr>
      <w:fldChar w:fldCharType="begin"/>
    </w:r>
    <w:r>
      <w:rPr>
        <w:rStyle w:val="PageNumber"/>
        <w:b w:val="false"/>
      </w:rPr>
      <w:instrText xml:space="preserve"> DATE \@"yyyy\-MM\-dd" </w:instrText>
    </w:r>
    <w:r>
      <w:rPr>
        <w:rStyle w:val="PageNumber"/>
        <w:b w:val="false"/>
      </w:rPr>
      <w:fldChar w:fldCharType="separate"/>
    </w:r>
    <w:r>
      <w:rPr>
        <w:rStyle w:val="PageNumber"/>
        <w:b w:val="false"/>
      </w:rPr>
      <w:t>2025-09-28</w:t>
    </w:r>
    <w:r>
      <w:rPr>
        <w:rStyle w:val="PageNumber"/>
        <w:b w:val="false"/>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ubtitle"/>
      <w:spacing w:before="0" w:after="120"/>
      <w:rPr>
        <w:rFonts w:ascii="Arial" w:hAnsi="Arial" w:cs="Arial"/>
        <w:sz w:val="24"/>
      </w:rPr>
    </w:pPr>
    <w:r>
      <w:rPr>
        <w:rFonts w:cs="Arial" w:ascii="Arial" w:hAnsi="Arial"/>
        <w:sz w:val="24"/>
      </w:rPr>
      <w:t>Stakeholder Comment Template</w:t>
    </w:r>
  </w:p>
  <w:p>
    <w:pPr>
      <w:pStyle w:val="Heading2"/>
      <w:tabs>
        <w:tab w:val="clear" w:pos="720"/>
        <w:tab w:val="right" w:pos="9360" w:leader="none"/>
      </w:tabs>
      <w:spacing w:before="0" w:after="0"/>
      <w:ind w:hanging="0" w:start="0" w:end="0"/>
      <w:rPr/>
    </w:pPr>
    <w:r>
      <w:rPr>
        <w:u w:val="single"/>
      </w:rPr>
      <w:t>Section Number and Topic</w:t>
    </w:r>
    <w:r>
      <w:rPr/>
      <w:tab/>
    </w:r>
    <w:r>
      <w:rPr>
        <w:u w:val="single"/>
      </w:rPr>
      <w:t>Page Reference in Proposal</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800" w:hanging="360"/>
      </w:pPr>
      <w:rPr>
        <w:sz w:val="18"/>
        <w:i w:val="false"/>
        <w:b/>
        <w:rFonts w:ascii="Arial" w:hAnsi="Arial" w:cs="Arial"/>
      </w:r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bullet"/>
      <w:lvlText w:val=""/>
      <w:lvlJc w:val="start"/>
      <w:pPr>
        <w:tabs>
          <w:tab w:val="num" w:pos="648"/>
        </w:tabs>
        <w:ind w:start="648" w:hanging="360"/>
      </w:pPr>
      <w:rPr>
        <w:rFonts w:ascii="Symbol" w:hAnsi="Symbol" w:cs="Symbol" w:hint="default"/>
        <w:sz w:val="18"/>
        <w:color w:val="auto"/>
      </w:rPr>
    </w:lvl>
  </w:abstractNum>
  <w:abstractNum w:abstractNumId="6">
    <w:lvl w:ilvl="0">
      <w:start w:val="1"/>
      <w:numFmt w:val="bullet"/>
      <w:lvlText w:val=""/>
      <w:lvlJc w:val="start"/>
      <w:pPr>
        <w:tabs>
          <w:tab w:val="num" w:pos="648"/>
        </w:tabs>
        <w:ind w:start="648" w:hanging="360"/>
      </w:pPr>
      <w:rPr>
        <w:rFonts w:ascii="Symbol" w:hAnsi="Symbol" w:cs="Symbol" w:hint="default"/>
        <w:sz w:val="18"/>
        <w:color w:val="auto"/>
      </w:rPr>
    </w:lvl>
  </w:abstractNum>
  <w:abstractNum w:abstractNumId="7">
    <w:lvl w:ilvl="0">
      <w:numFmt w:val="bullet"/>
      <w:lvlText w:val=""/>
      <w:lvlJc w:val="start"/>
      <w:pPr>
        <w:tabs>
          <w:tab w:val="num" w:pos="360"/>
        </w:tabs>
        <w:ind w:start="1800" w:hanging="360"/>
      </w:pPr>
      <w:rPr>
        <w:rFonts w:ascii="Symbol" w:hAnsi="Symbol" w:cs="Symbol" w:hint="default"/>
        <w:sz w:val="22"/>
      </w:r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1080" w:end="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HeadingBase"/>
    <w:next w:val="BodyText"/>
    <w:qFormat/>
    <w:pPr>
      <w:numPr>
        <w:ilvl w:val="0"/>
        <w:numId w:val="1"/>
      </w:numPr>
      <w:shd w:fill="E5E5E5" w:val="clear"/>
      <w:spacing w:lineRule="atLeast" w:line="280" w:before="220" w:after="220"/>
      <w:ind w:firstLine="1080" w:start="0" w:end="0"/>
      <w:outlineLvl w:val="0"/>
    </w:pPr>
    <w:rPr>
      <w:b/>
      <w:spacing w:val="-10"/>
      <w:sz w:val="24"/>
      <w:vertAlign w:val="superscript"/>
    </w:rPr>
  </w:style>
  <w:style w:type="paragraph" w:styleId="Heading2">
    <w:name w:val="heading 2"/>
    <w:basedOn w:val="HeadingBase"/>
    <w:next w:val="BodyText"/>
    <w:qFormat/>
    <w:pPr>
      <w:numPr>
        <w:ilvl w:val="1"/>
        <w:numId w:val="1"/>
      </w:numPr>
      <w:outlineLvl w:val="1"/>
    </w:pPr>
    <w:rPr>
      <w:b/>
    </w:rPr>
  </w:style>
  <w:style w:type="paragraph" w:styleId="Heading3">
    <w:name w:val="heading 3"/>
    <w:basedOn w:val="HeadingBase"/>
    <w:next w:val="BodyText"/>
    <w:qFormat/>
    <w:pPr>
      <w:numPr>
        <w:ilvl w:val="2"/>
        <w:numId w:val="1"/>
      </w:numPr>
      <w:outlineLvl w:val="2"/>
    </w:pPr>
    <w:rPr/>
  </w:style>
  <w:style w:type="paragraph" w:styleId="Heading4">
    <w:name w:val="heading 4"/>
    <w:basedOn w:val="HeadingBase"/>
    <w:next w:val="BodyText"/>
    <w:qFormat/>
    <w:pPr>
      <w:numPr>
        <w:ilvl w:val="3"/>
        <w:numId w:val="1"/>
      </w:numPr>
      <w:outlineLvl w:val="3"/>
    </w:pPr>
    <w:rPr>
      <w:b/>
      <w:sz w:val="18"/>
    </w:rPr>
  </w:style>
  <w:style w:type="paragraph" w:styleId="Heading5">
    <w:name w:val="heading 5"/>
    <w:basedOn w:val="HeadingBase"/>
    <w:next w:val="BodyText"/>
    <w:qFormat/>
    <w:pPr>
      <w:numPr>
        <w:ilvl w:val="4"/>
        <w:numId w:val="1"/>
      </w:numPr>
      <w:spacing w:before="220" w:after="220"/>
      <w:outlineLvl w:val="4"/>
    </w:pPr>
    <w:rPr>
      <w:rFonts w:ascii="Times New Roman;Times New Roman" w:hAnsi="Times New Roman;Times New Roman" w:cs="Times New Roman;Times New Roman"/>
      <w:i/>
      <w:sz w:val="20"/>
    </w:rPr>
  </w:style>
  <w:style w:type="paragraph" w:styleId="Heading6">
    <w:name w:val="heading 6"/>
    <w:basedOn w:val="HeadingBase"/>
    <w:next w:val="BodyText"/>
    <w:qFormat/>
    <w:pPr>
      <w:numPr>
        <w:ilvl w:val="5"/>
        <w:numId w:val="1"/>
      </w:numPr>
      <w:outlineLvl w:val="5"/>
    </w:pPr>
    <w:rPr>
      <w:rFonts w:ascii="Times New Roman;Times New Roman" w:hAnsi="Times New Roman;Times New Roman" w:cs="Times New Roman;Times New Roman"/>
      <w:i/>
      <w:sz w:val="20"/>
    </w:rPr>
  </w:style>
  <w:style w:type="paragraph" w:styleId="Heading7">
    <w:name w:val="heading 7"/>
    <w:basedOn w:val="HeadingBase"/>
    <w:next w:val="BodyText"/>
    <w:qFormat/>
    <w:pPr>
      <w:numPr>
        <w:ilvl w:val="6"/>
        <w:numId w:val="1"/>
      </w:numPr>
      <w:outlineLvl w:val="6"/>
    </w:pPr>
    <w:rPr>
      <w:rFonts w:ascii="Times New Roman;Times New Roman" w:hAnsi="Times New Roman;Times New Roman" w:cs="Times New Roman;Times New Roman"/>
      <w:sz w:val="20"/>
    </w:rPr>
  </w:style>
  <w:style w:type="paragraph" w:styleId="Heading8">
    <w:name w:val="heading 8"/>
    <w:basedOn w:val="HeadingBase"/>
    <w:next w:val="BodyText"/>
    <w:qFormat/>
    <w:pPr>
      <w:numPr>
        <w:ilvl w:val="7"/>
        <w:numId w:val="1"/>
      </w:numPr>
      <w:outlineLvl w:val="7"/>
    </w:pPr>
    <w:rPr>
      <w:i/>
      <w:sz w:val="18"/>
    </w:rPr>
  </w:style>
  <w:style w:type="paragraph" w:styleId="Heading9">
    <w:name w:val="heading 9"/>
    <w:basedOn w:val="HeadingBase"/>
    <w:next w:val="BodyText"/>
    <w:qFormat/>
    <w:pPr>
      <w:numPr>
        <w:ilvl w:val="8"/>
        <w:numId w:val="1"/>
      </w:numPr>
      <w:outlineLvl w:val="8"/>
    </w:pPr>
    <w:rPr>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Arial" w:hAnsi="Arial" w:cs="Arial"/>
      <w:b/>
      <w:i w:val="false"/>
      <w:sz w:val="18"/>
    </w:rPr>
  </w:style>
  <w:style w:type="character" w:styleId="WW8Num14z0">
    <w:name w:val="WW8Num14z0"/>
    <w:qFormat/>
    <w:rPr>
      <w:rFonts w:ascii="Symbol" w:hAnsi="Symbol" w:cs="Symbol"/>
      <w:color w:val="auto"/>
      <w:sz w:val="18"/>
    </w:rPr>
  </w:style>
  <w:style w:type="character" w:styleId="WW8Num15z0">
    <w:name w:val="WW8Num15z0"/>
    <w:qFormat/>
    <w:rPr>
      <w:rFonts w:ascii="Arial" w:hAnsi="Arial" w:cs="Arial"/>
      <w:b/>
      <w:i w:val="false"/>
      <w:sz w:val="18"/>
    </w:rPr>
  </w:style>
  <w:style w:type="character" w:styleId="WW8Num21z0">
    <w:name w:val="WW8Num21z0"/>
    <w:qFormat/>
    <w:rPr>
      <w:rFonts w:ascii="Symbol" w:hAnsi="Symbol" w:cs="Symbol"/>
      <w:color w:val="auto"/>
      <w:sz w:val="18"/>
    </w:rPr>
  </w:style>
  <w:style w:type="character" w:styleId="WW8Num22z0">
    <w:name w:val="WW8Num22z0"/>
    <w:qFormat/>
    <w:rPr>
      <w:rFonts w:ascii="Symbol" w:hAnsi="Symbol" w:cs="Symbol"/>
      <w:color w:val="auto"/>
      <w:sz w:val="18"/>
    </w:rPr>
  </w:style>
  <w:style w:type="character" w:styleId="WW8NumSt11z0">
    <w:name w:val="WW8NumSt11z0"/>
    <w:qFormat/>
    <w:rPr>
      <w:rFonts w:ascii="Symbol" w:hAnsi="Symbol" w:cs="Symbol"/>
      <w:sz w:val="22"/>
    </w:rPr>
  </w:style>
  <w:style w:type="character" w:styleId="WW8NumSt13z0">
    <w:name w:val="WW8NumSt13z0"/>
    <w:qFormat/>
    <w:rPr>
      <w:rFonts w:ascii="Arial" w:hAnsi="Arial" w:cs="Arial"/>
      <w:sz w:val="22"/>
    </w:rPr>
  </w:style>
  <w:style w:type="character" w:styleId="WW8NumSt14z0">
    <w:name w:val="WW8NumSt14z0"/>
    <w:qFormat/>
    <w:rPr>
      <w:rFonts w:ascii="Times;Times New Roman" w:hAnsi="Times;Times New Roman" w:cs="Times;Times New Roman"/>
      <w:sz w:val="16"/>
    </w:rPr>
  </w:style>
  <w:style w:type="character" w:styleId="WW8NumSt15z0">
    <w:name w:val="WW8NumSt15z0"/>
    <w:qFormat/>
    <w:rPr>
      <w:rFonts w:ascii="Times;Times New Roman" w:hAnsi="Times;Times New Roman" w:cs="Times;Times New Roman"/>
      <w:sz w:val="12"/>
    </w:rPr>
  </w:style>
  <w:style w:type="character" w:styleId="DefaultParagraphFont">
    <w:name w:val="Default Paragraph Font"/>
    <w:qFormat/>
    <w:rPr/>
  </w:style>
  <w:style w:type="character" w:styleId="EndnoteCharacters">
    <w:name w:val="Endnote Characters"/>
    <w:qFormat/>
    <w:rPr>
      <w:b/>
      <w:vertAlign w:val="superscript"/>
    </w:rPr>
  </w:style>
  <w:style w:type="character" w:styleId="FootnoteCharacters">
    <w:name w:val="Footnote Characters"/>
    <w:qFormat/>
    <w:rPr>
      <w:vertAlign w:val="superscript"/>
    </w:rPr>
  </w:style>
  <w:style w:type="character" w:styleId="Lead-inEmphasis">
    <w:name w:val="Lead-in Emphasis"/>
    <w:qFormat/>
    <w:rPr>
      <w:rFonts w:ascii="Arial" w:hAnsi="Arial" w:cs="Arial"/>
      <w:b/>
      <w:spacing w:val="-4"/>
    </w:rPr>
  </w:style>
  <w:style w:type="character" w:styleId="LineNumber">
    <w:name w:val="line number"/>
    <w:rPr>
      <w:sz w:val="18"/>
    </w:rPr>
  </w:style>
  <w:style w:type="character" w:styleId="PageNumber">
    <w:name w:val="page number"/>
    <w:rPr>
      <w:rFonts w:ascii="Arial" w:hAnsi="Arial" w:cs="Arial"/>
      <w:b/>
      <w:sz w:val="18"/>
    </w:rPr>
  </w:style>
  <w:style w:type="character" w:styleId="Superscript">
    <w:name w:val="Superscript"/>
    <w:qFormat/>
    <w:rPr>
      <w:b/>
      <w:vertAlign w:val="superscript"/>
    </w:rPr>
  </w:style>
  <w:style w:type="character" w:styleId="Emphasis">
    <w:name w:val="Emphasis"/>
    <w:qFormat/>
    <w:rPr>
      <w:rFonts w:ascii="Arial" w:hAnsi="Arial" w:cs="Arial"/>
      <w:b/>
      <w:spacing w:val="-4"/>
    </w:rPr>
  </w:style>
  <w:style w:type="character" w:styleId="CommentReference">
    <w:name w:val="Comment Reference"/>
    <w:qFormat/>
    <w:rPr>
      <w:sz w:val="16"/>
    </w:rPr>
  </w:style>
  <w:style w:type="character" w:styleId="Slogan">
    <w:name w:val="Slogan"/>
    <w:basedOn w:val="DefaultParagraphFont"/>
    <w:qFormat/>
    <w:rPr>
      <w:i/>
      <w:spacing w:val="-6"/>
      <w:sz w:val="24"/>
    </w:rPr>
  </w:style>
  <w:style w:type="paragraph" w:styleId="Heading">
    <w:name w:val="Heading"/>
    <w:basedOn w:val="HeadingBase"/>
    <w:next w:val="Subtitle"/>
    <w:qFormat/>
    <w:pPr>
      <w:spacing w:lineRule="atLeast" w:line="540" w:before="660" w:after="240"/>
      <w:ind w:hanging="0" w:start="0" w:end="0"/>
    </w:pPr>
    <w:rPr>
      <w:rFonts w:ascii="Times New Roman;Times New Roman" w:hAnsi="Times New Roman;Times New Roman" w:cs="Times New Roman;Times New Roman"/>
      <w:spacing w:val="-40"/>
      <w:sz w:val="40"/>
    </w:rPr>
  </w:style>
  <w:style w:type="paragraph" w:styleId="BodyText">
    <w:name w:val="Body Text"/>
    <w:basedOn w:val="Normal"/>
    <w:pPr>
      <w:spacing w:lineRule="atLeast" w:line="220" w:before="0" w:after="220"/>
      <w:ind w:hanging="0" w:start="0" w:end="0"/>
      <w:jc w:val="both"/>
    </w:pPr>
    <w:rPr>
      <w:rFonts w:ascii="Arial Narrow" w:hAnsi="Arial Narrow" w:cs="Arial Narrow"/>
      <w:sz w:val="24"/>
    </w:rPr>
  </w:style>
  <w:style w:type="paragraph" w:styleId="List">
    <w:name w:val="List"/>
    <w:basedOn w:val="BodyText"/>
    <w:pPr>
      <w:ind w:hanging="360" w:start="1440" w:end="0"/>
    </w:pPr>
    <w:rPr/>
  </w:style>
  <w:style w:type="paragraph" w:styleId="Caption">
    <w:name w:val="caption"/>
    <w:basedOn w:val="Picture"/>
    <w:next w:val="BodyText"/>
    <w:qFormat/>
    <w:pPr>
      <w:spacing w:lineRule="atLeast" w:line="220" w:before="60" w:after="220"/>
      <w:ind w:hanging="0" w:start="1800" w:end="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before="140" w:after="0"/>
    </w:pPr>
    <w:rPr>
      <w:rFonts w:ascii="Arial" w:hAnsi="Arial" w:cs="Arial"/>
      <w:spacing w:val="-4"/>
      <w:kern w:val="2"/>
      <w:sz w:val="22"/>
    </w:rPr>
  </w:style>
  <w:style w:type="paragraph" w:styleId="FootnoteBase">
    <w:name w:val="Footnote Base"/>
    <w:basedOn w:val="Normal"/>
    <w:qFormat/>
    <w:pPr>
      <w:keepLines/>
      <w:spacing w:lineRule="atLeast" w:line="220"/>
    </w:pPr>
    <w:rPr>
      <w:sz w:val="18"/>
    </w:rPr>
  </w:style>
  <w:style w:type="paragraph" w:styleId="BlockQuotation">
    <w:name w:val="Block Quotation"/>
    <w:basedOn w:val="BodyText"/>
    <w:qFormat/>
    <w:pPr>
      <w:keepLines/>
      <w:pBdr>
        <w:left w:val="single" w:sz="36" w:space="3" w:color="808080"/>
        <w:bottom w:val="single" w:sz="48" w:space="3" w:color="FFFFFF"/>
      </w:pBdr>
      <w:spacing w:before="0" w:after="60"/>
      <w:ind w:hanging="0" w:start="1440" w:end="720"/>
    </w:pPr>
    <w:rPr>
      <w:i/>
    </w:rPr>
  </w:style>
  <w:style w:type="paragraph" w:styleId="BodyTextKeep">
    <w:name w:val="Body Text Keep"/>
    <w:basedOn w:val="BodyText"/>
    <w:qFormat/>
    <w:pPr>
      <w:keepNext w:val="true"/>
    </w:pPr>
    <w:rPr/>
  </w:style>
  <w:style w:type="paragraph" w:styleId="Picture">
    <w:name w:val="Picture"/>
    <w:basedOn w:val="Normal"/>
    <w:next w:val="Caption"/>
    <w:qFormat/>
    <w:pPr>
      <w:keepNext w:val="true"/>
    </w:pPr>
    <w:rPr/>
  </w:style>
  <w:style w:type="paragraph" w:styleId="DocumentLabel">
    <w:name w:val="Document Label"/>
    <w:basedOn w:val="HeadingBase"/>
    <w:next w:val="BodyText"/>
    <w:qFormat/>
    <w:pPr>
      <w:spacing w:before="160" w:after="0"/>
    </w:pPr>
    <w:rPr>
      <w:rFonts w:ascii="Times New Roman;Times New Roman" w:hAnsi="Times New Roman;Times New Roman" w:cs="Times New Roman;Times New Roman"/>
      <w:spacing w:val="-30"/>
      <w:sz w:val="60"/>
    </w:rPr>
  </w:style>
  <w:style w:type="paragraph" w:styleId="EndnoteText">
    <w:name w:val="endnote text"/>
    <w:basedOn w:val="FootnoteBase"/>
    <w:pPr/>
    <w:rPr/>
  </w:style>
  <w:style w:type="paragraph" w:styleId="HeaderBase">
    <w:name w:val="Header Base"/>
    <w:basedOn w:val="Normal"/>
    <w:qFormat/>
    <w:pPr>
      <w:keepLines/>
      <w:tabs>
        <w:tab w:val="clear" w:pos="720"/>
        <w:tab w:val="center" w:pos="4320" w:leader="none"/>
        <w:tab w:val="right" w:pos="8640" w:leader="none"/>
      </w:tabs>
      <w:ind w:hanging="0" w:start="0" w:end="0"/>
    </w:pPr>
    <w:rPr>
      <w:rFonts w:ascii="Arial" w:hAnsi="Arial" w:cs="Arial"/>
      <w:spacing w:val="-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noteText">
    <w:name w:val="footnote text"/>
    <w:basedOn w:val="FootnoteBase"/>
    <w:pPr/>
    <w:rPr/>
  </w:style>
  <w:style w:type="paragraph" w:styleId="Header">
    <w:name w:val="header"/>
    <w:basedOn w:val="HeaderBase"/>
    <w:pPr/>
    <w:rPr/>
  </w:style>
  <w:style w:type="paragraph" w:styleId="IndexBase">
    <w:name w:val="Index Base"/>
    <w:basedOn w:val="Normal"/>
    <w:qFormat/>
    <w:pPr>
      <w:spacing w:lineRule="atLeast" w:line="220"/>
      <w:ind w:hanging="0" w:start="360" w:end="0"/>
    </w:pPr>
    <w:rPr/>
  </w:style>
  <w:style w:type="paragraph" w:styleId="Index1">
    <w:name w:val="index 1"/>
    <w:basedOn w:val="IndexBase"/>
    <w:pPr>
      <w:tabs>
        <w:tab w:val="clear" w:pos="720"/>
        <w:tab w:val="right" w:pos="4080" w:leader="none"/>
      </w:tabs>
      <w:ind w:hanging="360" w:start="360" w:end="0"/>
    </w:pPr>
    <w:rPr/>
  </w:style>
  <w:style w:type="paragraph" w:styleId="Index2">
    <w:name w:val="index 2"/>
    <w:basedOn w:val="IndexBase"/>
    <w:pPr>
      <w:tabs>
        <w:tab w:val="clear" w:pos="720"/>
        <w:tab w:val="right" w:pos="4080" w:leader="none"/>
      </w:tabs>
      <w:ind w:hanging="360" w:start="720" w:end="0"/>
    </w:pPr>
    <w:rPr/>
  </w:style>
  <w:style w:type="paragraph" w:styleId="Index3">
    <w:name w:val="index 3"/>
    <w:basedOn w:val="IndexBase"/>
    <w:pPr>
      <w:tabs>
        <w:tab w:val="clear" w:pos="720"/>
        <w:tab w:val="right" w:pos="4080" w:leader="none"/>
      </w:tabs>
      <w:ind w:hanging="360" w:start="720" w:end="0"/>
    </w:pPr>
    <w:rPr/>
  </w:style>
  <w:style w:type="paragraph" w:styleId="Index4">
    <w:name w:val="Index 4"/>
    <w:basedOn w:val="IndexBase"/>
    <w:qFormat/>
    <w:pPr>
      <w:tabs>
        <w:tab w:val="clear" w:pos="720"/>
        <w:tab w:val="right" w:pos="4080" w:leader="none"/>
      </w:tabs>
      <w:ind w:hanging="360" w:start="720" w:end="0"/>
    </w:pPr>
    <w:rPr/>
  </w:style>
  <w:style w:type="paragraph" w:styleId="Index5">
    <w:name w:val="Index 5"/>
    <w:basedOn w:val="IndexBase"/>
    <w:qFormat/>
    <w:pPr>
      <w:tabs>
        <w:tab w:val="clear" w:pos="720"/>
        <w:tab w:val="right" w:pos="4080" w:leader="none"/>
      </w:tabs>
      <w:ind w:hanging="360" w:start="720" w:end="0"/>
    </w:pPr>
    <w:rPr/>
  </w:style>
  <w:style w:type="paragraph" w:styleId="IndexHeading">
    <w:name w:val="index heading"/>
    <w:basedOn w:val="HeadingBase"/>
    <w:next w:val="Index1"/>
    <w:pPr>
      <w:keepLines w:val="false"/>
      <w:spacing w:before="440" w:after="0"/>
      <w:ind w:hanging="0" w:start="0" w:end="0"/>
    </w:pPr>
    <w:rPr>
      <w:b/>
      <w:caps/>
      <w:spacing w:val="0"/>
      <w:kern w:val="0"/>
      <w:sz w:val="24"/>
    </w:rPr>
  </w:style>
  <w:style w:type="paragraph" w:styleId="SectionHeading">
    <w:name w:val="Section Heading"/>
    <w:basedOn w:val="Heading1"/>
    <w:qFormat/>
    <w:pPr>
      <w:numPr>
        <w:ilvl w:val="0"/>
        <w:numId w:val="0"/>
      </w:numPr>
      <w:ind w:firstLine="1080" w:start="0"/>
      <w:outlineLvl w:val="9"/>
    </w:pPr>
    <w:rPr/>
  </w:style>
  <w:style w:type="paragraph" w:styleId="ListBullet">
    <w:name w:val="List Bullet"/>
    <w:basedOn w:val="List"/>
    <w:qFormat/>
    <w:pPr>
      <w:numPr>
        <w:ilvl w:val="0"/>
        <w:numId w:val="7"/>
      </w:numPr>
      <w:ind w:hanging="360" w:start="1440" w:end="720"/>
    </w:pPr>
    <w:rPr/>
  </w:style>
  <w:style w:type="paragraph" w:styleId="ListNumber">
    <w:name w:val="List Number"/>
    <w:basedOn w:val="List"/>
    <w:qFormat/>
    <w:pPr>
      <w:numPr>
        <w:ilvl w:val="0"/>
        <w:numId w:val="8"/>
      </w:numPr>
      <w:ind w:hanging="360" w:start="1800" w:end="720"/>
    </w:pPr>
    <w:rPr/>
  </w:style>
  <w:style w:type="paragraph" w:styleId="MacroText">
    <w:name w:val="Macro Text"/>
    <w:basedOn w:val="Normal"/>
    <w:qFormat/>
    <w:pPr/>
    <w:rPr>
      <w:rFonts w:ascii="Courier New" w:hAnsi="Courier New" w:cs="Courier New"/>
    </w:rPr>
  </w:style>
  <w:style w:type="paragraph" w:styleId="TitleCover">
    <w:name w:val="Title Cover"/>
    <w:basedOn w:val="HeadingBase"/>
    <w:next w:val="SubtitleCover"/>
    <w:qFormat/>
    <w:pPr>
      <w:spacing w:lineRule="atLeast" w:line="240" w:before="1800" w:after="0"/>
    </w:pPr>
    <w:rPr>
      <w:b/>
      <w:spacing w:val="-48"/>
      <w:sz w:val="72"/>
    </w:rPr>
  </w:style>
  <w:style w:type="paragraph" w:styleId="SubtitleCover">
    <w:name w:val="Subtitle Cover"/>
    <w:basedOn w:val="TitleCover"/>
    <w:next w:val="BodyText"/>
    <w:qFormat/>
    <w:pPr>
      <w:spacing w:before="1520" w:after="0"/>
      <w:ind w:hanging="0" w:start="1080" w:end="1680"/>
    </w:pPr>
    <w:rPr>
      <w:rFonts w:ascii="Times New Roman;Times New Roman" w:hAnsi="Times New Roman;Times New Roman" w:cs="Times New Roman;Times New Roman"/>
      <w:b w:val="false"/>
      <w:i/>
      <w:spacing w:val="-20"/>
      <w:sz w:val="40"/>
    </w:rPr>
  </w:style>
  <w:style w:type="paragraph" w:styleId="TOCBase">
    <w:name w:val="TOC Base"/>
    <w:basedOn w:val="Normal"/>
    <w:qFormat/>
    <w:pPr>
      <w:tabs>
        <w:tab w:val="clear" w:pos="720"/>
        <w:tab w:val="right" w:pos="6480" w:leader="dot"/>
      </w:tabs>
      <w:spacing w:lineRule="atLeast" w:line="220" w:before="0" w:after="220"/>
      <w:ind w:hanging="0" w:start="0" w:end="0"/>
    </w:pPr>
    <w:rPr>
      <w:rFonts w:ascii="Arial" w:hAnsi="Arial" w:cs="Arial"/>
    </w:rPr>
  </w:style>
  <w:style w:type="paragraph" w:styleId="TableofFigures">
    <w:name w:val="Table of Figures"/>
    <w:basedOn w:val="TOCBase"/>
    <w:qFormat/>
    <w:pPr>
      <w:ind w:hanging="360" w:start="1440" w:end="0"/>
    </w:pPr>
    <w:rPr/>
  </w:style>
  <w:style w:type="paragraph" w:styleId="TOC1">
    <w:name w:val="toc 1"/>
    <w:basedOn w:val="TOCBase"/>
    <w:pPr>
      <w:tabs>
        <w:tab w:val="clear" w:pos="6480"/>
        <w:tab w:val="right" w:pos="9360" w:leader="dot"/>
      </w:tabs>
      <w:ind w:hanging="720" w:start="720" w:end="0"/>
    </w:pPr>
    <w:rPr>
      <w:b/>
      <w:spacing w:val="-4"/>
    </w:rPr>
  </w:style>
  <w:style w:type="paragraph" w:styleId="TOC2">
    <w:name w:val="toc 2"/>
    <w:basedOn w:val="TOCBase"/>
    <w:pPr>
      <w:tabs>
        <w:tab w:val="clear" w:pos="6480"/>
        <w:tab w:val="right" w:pos="9360" w:leader="dot"/>
      </w:tabs>
      <w:ind w:hanging="720" w:start="720" w:end="0"/>
    </w:pPr>
    <w:rPr>
      <w:b/>
    </w:rPr>
  </w:style>
  <w:style w:type="paragraph" w:styleId="TOC3">
    <w:name w:val="toc 3"/>
    <w:basedOn w:val="TOCBase"/>
    <w:pPr>
      <w:tabs>
        <w:tab w:val="clear" w:pos="6480"/>
        <w:tab w:val="right" w:pos="9360" w:leader="dot"/>
      </w:tabs>
      <w:ind w:hanging="720" w:start="720" w:end="0"/>
    </w:pPr>
    <w:rPr>
      <w:b/>
    </w:rPr>
  </w:style>
  <w:style w:type="paragraph" w:styleId="TOC4">
    <w:name w:val="toc 4"/>
    <w:basedOn w:val="TOCBase"/>
    <w:pPr>
      <w:tabs>
        <w:tab w:val="clear" w:pos="6480"/>
        <w:tab w:val="right" w:pos="9360" w:leader="dot"/>
      </w:tabs>
      <w:ind w:hanging="720" w:start="720" w:end="0"/>
    </w:pPr>
    <w:rPr>
      <w:b/>
    </w:rPr>
  </w:style>
  <w:style w:type="paragraph" w:styleId="TOC5">
    <w:name w:val="toc 5"/>
    <w:basedOn w:val="TOCBase"/>
    <w:pPr/>
    <w:rPr/>
  </w:style>
  <w:style w:type="paragraph" w:styleId="SectionLabel">
    <w:name w:val="Section Label"/>
    <w:basedOn w:val="HeadingBase"/>
    <w:next w:val="BodyText"/>
    <w:qFormat/>
    <w:pPr>
      <w:spacing w:before="400" w:after="440"/>
    </w:pPr>
    <w:rPr>
      <w:rFonts w:ascii="Times New Roman;Times New Roman" w:hAnsi="Times New Roman;Times New Roman" w:cs="Times New Roman;Times New Roman"/>
      <w:spacing w:val="-30"/>
      <w:sz w:val="60"/>
    </w:rPr>
  </w:style>
  <w:style w:type="paragraph" w:styleId="FooterFirst">
    <w:name w:val="Footer First"/>
    <w:basedOn w:val="Footer"/>
    <w:qFormat/>
    <w:pPr>
      <w:pBdr>
        <w:bottom w:val="single" w:sz="6" w:space="1" w:color="000000"/>
      </w:pBdr>
      <w:spacing w:before="600" w:after="0"/>
    </w:pPr>
    <w:rPr>
      <w:b/>
    </w:rPr>
  </w:style>
  <w:style w:type="paragraph" w:styleId="FooterEven">
    <w:name w:val="Footer Even"/>
    <w:basedOn w:val="Footer"/>
    <w:qFormat/>
    <w:pPr>
      <w:pBdr>
        <w:bottom w:val="single" w:sz="6" w:space="1" w:color="000000"/>
      </w:pBdr>
      <w:spacing w:before="600" w:after="0"/>
    </w:pPr>
    <w:rPr>
      <w:b/>
    </w:rPr>
  </w:style>
  <w:style w:type="paragraph" w:styleId="FooterOdd">
    <w:name w:val="Footer Odd"/>
    <w:basedOn w:val="Footer"/>
    <w:qFormat/>
    <w:pPr>
      <w:pBdr>
        <w:bottom w:val="single" w:sz="6" w:space="1" w:color="000000"/>
      </w:pBdr>
      <w:spacing w:before="600" w:after="0"/>
    </w:pPr>
    <w:rPr>
      <w:b/>
    </w:rPr>
  </w:style>
  <w:style w:type="paragraph" w:styleId="HeaderFirst">
    <w:name w:val="Header First"/>
    <w:basedOn w:val="Header"/>
    <w:qFormat/>
    <w:pPr/>
    <w:rPr/>
  </w:style>
  <w:style w:type="paragraph" w:styleId="HeaderEven">
    <w:name w:val="Header Even"/>
    <w:basedOn w:val="Header"/>
    <w:qFormat/>
    <w:pPr/>
    <w:rPr/>
  </w:style>
  <w:style w:type="paragraph" w:styleId="HeaderOdd">
    <w:name w:val="Header Odd"/>
    <w:basedOn w:val="Header"/>
    <w:qFormat/>
    <w:pPr/>
    <w:rPr/>
  </w:style>
  <w:style w:type="paragraph" w:styleId="ChapterLabel">
    <w:name w:val="Chapter Label"/>
    <w:basedOn w:val="HeadingBase"/>
    <w:next w:val="ChapterTitle"/>
    <w:qFormat/>
    <w:pPr>
      <w:spacing w:before="770" w:after="440"/>
    </w:pPr>
    <w:rPr>
      <w:rFonts w:ascii="Times New Roman;Times New Roman" w:hAnsi="Times New Roman;Times New Roman" w:cs="Times New Roman;Times New Roman"/>
      <w:spacing w:val="-30"/>
      <w:sz w:val="60"/>
    </w:rPr>
  </w:style>
  <w:style w:type="paragraph" w:styleId="ChapterTitle">
    <w:name w:val="Chapter Title"/>
    <w:basedOn w:val="HeadingBase"/>
    <w:next w:val="ChapterSubtitle"/>
    <w:qFormat/>
    <w:pPr>
      <w:spacing w:lineRule="atLeast" w:line="540" w:before="720" w:after="400"/>
      <w:ind w:hanging="0" w:start="1080" w:end="2160"/>
    </w:pPr>
    <w:rPr>
      <w:rFonts w:ascii="Times New Roman;Times New Roman" w:hAnsi="Times New Roman;Times New Roman" w:cs="Times New Roman;Times New Roman"/>
      <w:spacing w:val="-40"/>
      <w:sz w:val="60"/>
    </w:rPr>
  </w:style>
  <w:style w:type="paragraph" w:styleId="ChapterSubtitle">
    <w:name w:val="Chapter Subtitle"/>
    <w:basedOn w:val="ChapterTitle"/>
    <w:next w:val="BodyText"/>
    <w:qFormat/>
    <w:pPr>
      <w:spacing w:lineRule="atLeast" w:line="400" w:before="0" w:after="400"/>
    </w:pPr>
    <w:rPr>
      <w:i/>
      <w:spacing w:val="-14"/>
      <w:sz w:val="34"/>
    </w:rPr>
  </w:style>
  <w:style w:type="paragraph" w:styleId="BodyTextIndent">
    <w:name w:val="Body Text Indent"/>
    <w:basedOn w:val="BodyText"/>
    <w:pPr>
      <w:ind w:hanging="0" w:start="1440" w:end="0"/>
    </w:pPr>
    <w:rPr/>
  </w:style>
  <w:style w:type="paragraph" w:styleId="Subtitle">
    <w:name w:val="Subtitle"/>
    <w:basedOn w:val="Heading"/>
    <w:next w:val="BodyText"/>
    <w:qFormat/>
    <w:pPr>
      <w:spacing w:lineRule="atLeast" w:line="400" w:before="0" w:after="160"/>
    </w:pPr>
    <w:rPr>
      <w:i/>
      <w:spacing w:val="-14"/>
      <w:sz w:val="34"/>
    </w:rPr>
  </w:style>
  <w:style w:type="paragraph" w:styleId="ListNumber5">
    <w:name w:val="List Number 5"/>
    <w:basedOn w:val="ListNumber"/>
    <w:qFormat/>
    <w:pPr>
      <w:ind w:hanging="360" w:start="3240" w:end="720"/>
    </w:pPr>
    <w:rPr/>
  </w:style>
  <w:style w:type="paragraph" w:styleId="ListNumber4">
    <w:name w:val="List Number 4"/>
    <w:basedOn w:val="ListNumber"/>
    <w:qFormat/>
    <w:pPr>
      <w:ind w:hanging="360" w:start="2880" w:end="720"/>
    </w:pPr>
    <w:rPr/>
  </w:style>
  <w:style w:type="paragraph" w:styleId="ListNumber3">
    <w:name w:val="List Number 3"/>
    <w:basedOn w:val="ListNumber"/>
    <w:qFormat/>
    <w:pPr>
      <w:ind w:hanging="360" w:start="2520" w:end="720"/>
    </w:pPr>
    <w:rPr/>
  </w:style>
  <w:style w:type="paragraph" w:styleId="ListBullet51">
    <w:name w:val="List Bullet 51"/>
    <w:basedOn w:val="ListBullet"/>
    <w:qFormat/>
    <w:pPr>
      <w:ind w:hanging="360" w:start="3240" w:end="720"/>
    </w:pPr>
    <w:rPr/>
  </w:style>
  <w:style w:type="paragraph" w:styleId="ListBullet41">
    <w:name w:val="List Bullet 41"/>
    <w:basedOn w:val="ListBullet"/>
    <w:qFormat/>
    <w:pPr>
      <w:ind w:hanging="360" w:start="2880" w:end="720"/>
    </w:pPr>
    <w:rPr/>
  </w:style>
  <w:style w:type="paragraph" w:styleId="ListBullet31">
    <w:name w:val="List Bullet 31"/>
    <w:basedOn w:val="ListBullet"/>
    <w:qFormat/>
    <w:pPr>
      <w:ind w:hanging="360" w:start="2520" w:end="720"/>
    </w:pPr>
    <w:rPr/>
  </w:style>
  <w:style w:type="paragraph" w:styleId="ListBullet21">
    <w:name w:val="List Bullet 21"/>
    <w:basedOn w:val="ListBullet"/>
    <w:qFormat/>
    <w:pPr>
      <w:ind w:hanging="360" w:start="2160" w:end="720"/>
    </w:pPr>
    <w:rPr/>
  </w:style>
  <w:style w:type="paragraph" w:styleId="ListBullet5">
    <w:name w:val="List Bullet 5"/>
    <w:basedOn w:val="List"/>
    <w:pPr>
      <w:ind w:hanging="360" w:start="2880" w:end="0"/>
    </w:pPr>
    <w:rPr/>
  </w:style>
  <w:style w:type="paragraph" w:styleId="ListBullet4">
    <w:name w:val="List Bullet 4"/>
    <w:basedOn w:val="List"/>
    <w:pPr>
      <w:ind w:hanging="360" w:start="2520" w:end="0"/>
    </w:pPr>
    <w:rPr/>
  </w:style>
  <w:style w:type="paragraph" w:styleId="ListBullet3">
    <w:name w:val="List Bullet 3"/>
    <w:basedOn w:val="List"/>
    <w:pPr>
      <w:ind w:hanging="360" w:start="2160" w:end="0"/>
    </w:pPr>
    <w:rPr/>
  </w:style>
  <w:style w:type="paragraph" w:styleId="ListBullet2">
    <w:name w:val="List Bullet 2"/>
    <w:basedOn w:val="List"/>
    <w:pPr>
      <w:ind w:hanging="360" w:start="1800" w:end="0"/>
    </w:pPr>
    <w:rPr/>
  </w:style>
  <w:style w:type="paragraph" w:styleId="CommentText">
    <w:name w:val="Comment Text"/>
    <w:basedOn w:val="FootnoteBase"/>
    <w:qFormat/>
    <w:pPr/>
    <w:rPr/>
  </w:style>
  <w:style w:type="paragraph" w:styleId="ListNumber2">
    <w:name w:val="List Number 2"/>
    <w:basedOn w:val="ListNumber"/>
    <w:qFormat/>
    <w:pPr>
      <w:ind w:hanging="360" w:start="2160" w:end="720"/>
    </w:pPr>
    <w:rPr/>
  </w:style>
  <w:style w:type="paragraph" w:styleId="ListContinue">
    <w:name w:val="List Continue"/>
    <w:basedOn w:val="List"/>
    <w:qFormat/>
    <w:pPr>
      <w:numPr>
        <w:ilvl w:val="0"/>
        <w:numId w:val="9"/>
      </w:numPr>
      <w:ind w:hanging="0" w:start="1800" w:end="0"/>
    </w:pPr>
    <w:rPr/>
  </w:style>
  <w:style w:type="paragraph" w:styleId="ListContinue2">
    <w:name w:val="List Continue 2"/>
    <w:basedOn w:val="ListContinue"/>
    <w:qFormat/>
    <w:pPr>
      <w:ind w:hanging="0" w:start="2160" w:end="0"/>
    </w:pPr>
    <w:rPr/>
  </w:style>
  <w:style w:type="paragraph" w:styleId="ListContinue3">
    <w:name w:val="List Continue 3"/>
    <w:basedOn w:val="ListContinue"/>
    <w:qFormat/>
    <w:pPr>
      <w:ind w:hanging="0" w:start="2520" w:end="0"/>
    </w:pPr>
    <w:rPr/>
  </w:style>
  <w:style w:type="paragraph" w:styleId="ListContinue4">
    <w:name w:val="List Continue 4"/>
    <w:basedOn w:val="ListContinue"/>
    <w:qFormat/>
    <w:pPr>
      <w:ind w:hanging="0" w:start="2880" w:end="0"/>
    </w:pPr>
    <w:rPr/>
  </w:style>
  <w:style w:type="paragraph" w:styleId="ListContinue5">
    <w:name w:val="List Continue 5"/>
    <w:basedOn w:val="ListContinue"/>
    <w:qFormat/>
    <w:pPr>
      <w:ind w:hanging="0" w:start="3240" w:end="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20"/>
      <w:ind w:hanging="0" w:start="0" w:end="0"/>
    </w:pPr>
    <w:rPr>
      <w:sz w:val="16"/>
    </w:rPr>
  </w:style>
  <w:style w:type="paragraph" w:styleId="CompanyName">
    <w:name w:val="Company Name"/>
    <w:basedOn w:val="DocumentLabel"/>
    <w:qFormat/>
    <w:pPr>
      <w:spacing w:before="0" w:after="0"/>
    </w:pPr>
    <w:rPr/>
  </w:style>
  <w:style w:type="paragraph" w:styleId="PartLabel">
    <w:name w:val="Part Label"/>
    <w:basedOn w:val="HeadingBase"/>
    <w:next w:val="Normal"/>
    <w:qFormat/>
    <w:pPr>
      <w:spacing w:before="400" w:after="440"/>
    </w:pPr>
    <w:rPr>
      <w:rFonts w:ascii="Times New Roman;Times New Roman" w:hAnsi="Times New Roman;Times New Roman" w:cs="Times New Roman;Times New Roman"/>
      <w:spacing w:val="-30"/>
      <w:sz w:val="60"/>
    </w:rPr>
  </w:style>
  <w:style w:type="paragraph" w:styleId="PartSubtitle">
    <w:name w:val="Part Subtitle"/>
    <w:basedOn w:val="Normal"/>
    <w:next w:val="BodyText"/>
    <w:qFormat/>
    <w:pPr>
      <w:keepNext w:val="true"/>
      <w:keepLines/>
      <w:spacing w:lineRule="atLeast" w:line="400" w:before="0" w:after="160"/>
      <w:ind w:hanging="0" w:start="1080" w:end="2160"/>
    </w:pPr>
    <w:rPr>
      <w:i/>
      <w:spacing w:val="-14"/>
      <w:kern w:val="2"/>
      <w:sz w:val="34"/>
    </w:rPr>
  </w:style>
  <w:style w:type="paragraph" w:styleId="PartTitle">
    <w:name w:val="Part Title"/>
    <w:basedOn w:val="HeadingBase"/>
    <w:next w:val="PartSubtitle"/>
    <w:qFormat/>
    <w:pPr>
      <w:spacing w:lineRule="atLeast" w:line="540" w:before="660" w:after="400"/>
      <w:ind w:hanging="0" w:start="1080" w:end="2160"/>
    </w:pPr>
    <w:rPr>
      <w:rFonts w:ascii="Times New Roman;Times New Roman" w:hAnsi="Times New Roman;Times New Roman" w:cs="Times New Roman;Times New Roman"/>
      <w:spacing w:val="-40"/>
      <w:sz w:val="60"/>
    </w:rPr>
  </w:style>
  <w:style w:type="paragraph" w:styleId="TableofAuthorities">
    <w:name w:val="Table of Authorities"/>
    <w:basedOn w:val="Normal"/>
    <w:qFormat/>
    <w:pPr>
      <w:tabs>
        <w:tab w:val="clear" w:pos="720"/>
        <w:tab w:val="right" w:pos="7560" w:leader="dot"/>
      </w:tabs>
      <w:ind w:hanging="360" w:start="1440" w:end="0"/>
    </w:pPr>
    <w:rPr/>
  </w:style>
  <w:style w:type="paragraph" w:styleId="TOAHeading">
    <w:name w:val="TOA Heading"/>
    <w:basedOn w:val="Normal"/>
    <w:next w:val="TableofAuthorities"/>
    <w:qFormat/>
    <w:pPr>
      <w:keepNext w:val="true"/>
      <w:spacing w:lineRule="exact" w:line="360" w:before="240" w:after="120"/>
    </w:pPr>
    <w:rPr>
      <w:rFonts w:ascii="Arial" w:hAnsi="Arial" w:cs="Arial"/>
      <w:b/>
      <w:kern w:val="2"/>
      <w:sz w:val="28"/>
    </w:rPr>
  </w:style>
  <w:style w:type="paragraph" w:styleId="MessageHeader">
    <w:name w:val="Message Header"/>
    <w:basedOn w:val="BodyText"/>
    <w:qFormat/>
    <w:pPr>
      <w:keepLines/>
      <w:tabs>
        <w:tab w:val="clear" w:pos="720"/>
        <w:tab w:val="left" w:pos="3600" w:leader="none"/>
        <w:tab w:val="left" w:pos="4680" w:leader="none"/>
      </w:tabs>
      <w:spacing w:lineRule="exact" w:line="280" w:before="0" w:after="120"/>
      <w:ind w:hanging="1080" w:start="0" w:end="2160"/>
    </w:pPr>
    <w:rPr>
      <w:rFonts w:ascii="Arial" w:hAnsi="Arial" w:cs="Arial"/>
      <w:sz w:val="22"/>
    </w:rPr>
  </w:style>
  <w:style w:type="paragraph" w:styleId="TableHeaderText">
    <w:name w:val="Table Header Text"/>
    <w:basedOn w:val="Normal"/>
    <w:qFormat/>
    <w:pPr>
      <w:ind w:hanging="0" w:start="0" w:end="0"/>
      <w:jc w:val="center"/>
    </w:pPr>
    <w:rPr>
      <w:rFonts w:ascii="Times;Times New Roman" w:hAnsi="Times;Times New Roman" w:cs="Times;Times New Roman"/>
      <w:b/>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2000-07-29T11:46:00Z</dcterms:created>
  <dc:creator>Byron Woertz</dc:creator>
  <dc:description/>
  <dc:language>en-CA</dc:language>
  <cp:lastModifiedBy>Carl Imparato</cp:lastModifiedBy>
  <dcterms:modified xsi:type="dcterms:W3CDTF">2000-07-29T17:51:00Z</dcterms:modified>
  <cp:revision>16</cp:revision>
  <dc:subject/>
  <dc:title>Congestion Management Reform - July 11, 2000 Proposal</dc:title>
</cp:coreProperties>
</file>