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szCs w:val="28"/>
        </w:rPr>
      </w:pPr>
      <w:r>
        <w:rPr>
          <w:b/>
          <w:sz w:val="28"/>
          <w:szCs w:val="28"/>
        </w:rPr>
        <w:t>CAEM PREDICTIONS IN 2002</w:t>
      </w:r>
    </w:p>
    <w:p>
      <w:pPr>
        <w:pStyle w:val="Normal"/>
        <w:rPr>
          <w:b/>
          <w:sz w:val="24"/>
          <w:szCs w:val="24"/>
        </w:rPr>
      </w:pPr>
      <w:r>
        <w:rPr>
          <w:b/>
          <w:sz w:val="24"/>
          <w:szCs w:val="24"/>
        </w:rPr>
      </w:r>
    </w:p>
    <w:p>
      <w:pPr>
        <w:pStyle w:val="Normal"/>
        <w:rPr>
          <w:sz w:val="24"/>
          <w:szCs w:val="24"/>
        </w:rPr>
      </w:pPr>
      <w:r>
        <w:rPr>
          <w:sz w:val="24"/>
          <w:szCs w:val="24"/>
        </w:rPr>
        <w:t>What does Enron’s collapse mean?</w:t>
      </w:r>
    </w:p>
    <w:p>
      <w:pPr>
        <w:pStyle w:val="Normal"/>
        <w:rPr>
          <w:sz w:val="24"/>
          <w:szCs w:val="24"/>
        </w:rPr>
      </w:pPr>
      <w:r>
        <w:rPr>
          <w:sz w:val="24"/>
          <w:szCs w:val="24"/>
        </w:rPr>
      </w:r>
    </w:p>
    <w:p>
      <w:pPr>
        <w:pStyle w:val="Normal"/>
        <w:numPr>
          <w:ilvl w:val="0"/>
          <w:numId w:val="6"/>
        </w:numPr>
        <w:rPr>
          <w:sz w:val="24"/>
          <w:szCs w:val="24"/>
        </w:rPr>
      </w:pPr>
      <w:r>
        <w:rPr>
          <w:sz w:val="24"/>
          <w:szCs w:val="24"/>
        </w:rPr>
        <w:t xml:space="preserve">Markets work.  Markets quickly punish mistakes.  Little slack is given for past accomplishments.  Markets are ruthlessly impersonal. </w:t>
      </w:r>
    </w:p>
    <w:p>
      <w:pPr>
        <w:pStyle w:val="Normal"/>
        <w:ind w:start="360" w:end="0"/>
        <w:rPr>
          <w:sz w:val="24"/>
          <w:szCs w:val="24"/>
        </w:rPr>
      </w:pPr>
      <w:r>
        <w:rPr>
          <w:sz w:val="24"/>
          <w:szCs w:val="24"/>
        </w:rPr>
      </w:r>
    </w:p>
    <w:p>
      <w:pPr>
        <w:pStyle w:val="Normal"/>
        <w:numPr>
          <w:ilvl w:val="0"/>
          <w:numId w:val="4"/>
        </w:numPr>
        <w:rPr>
          <w:sz w:val="24"/>
          <w:szCs w:val="24"/>
        </w:rPr>
      </w:pPr>
      <w:r>
        <w:rPr>
          <w:sz w:val="24"/>
          <w:szCs w:val="24"/>
        </w:rPr>
        <w:t xml:space="preserve">No likely short term impact on consumers, other traders will fill the space left by Enron.  Amazing that a company as large as Enron can fail and hardly cause a ripple in markets.  Testimonial to benefits of markets. </w:t>
      </w:r>
    </w:p>
    <w:p>
      <w:pPr>
        <w:pStyle w:val="Normal"/>
        <w:rPr>
          <w:sz w:val="24"/>
          <w:szCs w:val="24"/>
        </w:rPr>
      </w:pPr>
      <w:r>
        <w:rPr>
          <w:sz w:val="24"/>
          <w:szCs w:val="24"/>
        </w:rPr>
      </w:r>
    </w:p>
    <w:p>
      <w:pPr>
        <w:pStyle w:val="Normal"/>
        <w:numPr>
          <w:ilvl w:val="0"/>
          <w:numId w:val="4"/>
        </w:numPr>
        <w:rPr>
          <w:sz w:val="24"/>
          <w:szCs w:val="24"/>
        </w:rPr>
      </w:pPr>
      <w:r>
        <w:rPr>
          <w:sz w:val="24"/>
          <w:szCs w:val="24"/>
        </w:rPr>
        <w:t xml:space="preserve">May have significant impact on public policy advocacy.  Not obvious who picks up the slack.  Enron could be counted on to be there, or so it appeared.  No more free riders, we will all have to dig deeper and work harder.  Consumers may be mid to long term losers if movement toward competition collapses, which it might do if states stretch out the transition period to competition.  </w:t>
      </w:r>
    </w:p>
    <w:p>
      <w:pPr>
        <w:pStyle w:val="Normal"/>
        <w:ind w:start="360" w:end="0"/>
        <w:rPr>
          <w:sz w:val="24"/>
          <w:szCs w:val="24"/>
        </w:rPr>
      </w:pPr>
      <w:r>
        <w:rPr>
          <w:sz w:val="24"/>
          <w:szCs w:val="24"/>
        </w:rPr>
      </w:r>
    </w:p>
    <w:p>
      <w:pPr>
        <w:pStyle w:val="Normal"/>
        <w:numPr>
          <w:ilvl w:val="0"/>
          <w:numId w:val="4"/>
        </w:numPr>
        <w:rPr>
          <w:sz w:val="24"/>
          <w:szCs w:val="24"/>
        </w:rPr>
      </w:pPr>
      <w:r>
        <w:rPr>
          <w:sz w:val="24"/>
          <w:szCs w:val="24"/>
        </w:rPr>
        <w:t xml:space="preserve">Enron’s collapse was not caused by deregulation. Viewed thoughtfully, it should not have any effect on deregulation movement.  Does not stand for proposition that deregulation is not the right policy. </w:t>
      </w:r>
    </w:p>
    <w:p>
      <w:pPr>
        <w:pStyle w:val="Normal"/>
        <w:rPr>
          <w:sz w:val="24"/>
          <w:szCs w:val="24"/>
        </w:rPr>
      </w:pPr>
      <w:r>
        <w:rPr>
          <w:sz w:val="24"/>
          <w:szCs w:val="24"/>
        </w:rPr>
      </w:r>
    </w:p>
    <w:p>
      <w:pPr>
        <w:pStyle w:val="Normal"/>
        <w:numPr>
          <w:ilvl w:val="0"/>
          <w:numId w:val="4"/>
        </w:numPr>
        <w:rPr>
          <w:sz w:val="24"/>
          <w:szCs w:val="24"/>
        </w:rPr>
      </w:pPr>
      <w:r>
        <w:rPr>
          <w:sz w:val="24"/>
          <w:szCs w:val="24"/>
        </w:rPr>
        <w:t xml:space="preserve">Look for more regulation and oversight of energy transactions, accounting and business practices.  A strange legacy for Enron, but a reality. </w:t>
      </w:r>
    </w:p>
    <w:p>
      <w:pPr>
        <w:pStyle w:val="Normal"/>
        <w:ind w:start="360" w:end="0"/>
        <w:rPr>
          <w:sz w:val="24"/>
          <w:szCs w:val="24"/>
        </w:rPr>
      </w:pPr>
      <w:r>
        <w:rPr>
          <w:sz w:val="24"/>
          <w:szCs w:val="24"/>
        </w:rPr>
      </w:r>
    </w:p>
    <w:p>
      <w:pPr>
        <w:pStyle w:val="Normal"/>
        <w:numPr>
          <w:ilvl w:val="0"/>
          <w:numId w:val="4"/>
        </w:numPr>
        <w:rPr>
          <w:sz w:val="24"/>
          <w:szCs w:val="24"/>
        </w:rPr>
      </w:pPr>
      <w:r>
        <w:rPr>
          <w:sz w:val="24"/>
          <w:szCs w:val="24"/>
        </w:rPr>
        <w:t xml:space="preserve">As a practical matter, it is another setback for restructuring.  But not as bad as portrayed by media – Enron was the 600 pound gorilla that angered friends of competition almost as much as foes, thus making them less willing to step forward.  Will feed growing skepticism many have about restructuring. </w:t>
      </w:r>
    </w:p>
    <w:p>
      <w:pPr>
        <w:pStyle w:val="Normal"/>
        <w:rPr>
          <w:sz w:val="24"/>
          <w:szCs w:val="24"/>
        </w:rPr>
      </w:pPr>
      <w:r>
        <w:rPr>
          <w:sz w:val="24"/>
          <w:szCs w:val="24"/>
        </w:rPr>
      </w:r>
    </w:p>
    <w:p>
      <w:pPr>
        <w:pStyle w:val="Normal"/>
        <w:numPr>
          <w:ilvl w:val="0"/>
          <w:numId w:val="4"/>
        </w:numPr>
        <w:rPr>
          <w:sz w:val="24"/>
          <w:szCs w:val="24"/>
        </w:rPr>
      </w:pPr>
      <w:r>
        <w:rPr>
          <w:sz w:val="24"/>
          <w:szCs w:val="24"/>
        </w:rPr>
        <w:t xml:space="preserve">Enron’s global reach into wholesale and retail markets meant that its policy positions were sometimes blurred (pro-wholesale? pro energy services?) Other corporations will now replace Enron in public policy debates; these corporations may have a clearer focus.  </w:t>
      </w:r>
    </w:p>
    <w:p>
      <w:pPr>
        <w:pStyle w:val="Normal"/>
        <w:ind w:start="360" w:end="0"/>
        <w:rPr>
          <w:sz w:val="24"/>
          <w:szCs w:val="24"/>
        </w:rPr>
      </w:pPr>
      <w:r>
        <w:rPr>
          <w:sz w:val="24"/>
          <w:szCs w:val="24"/>
        </w:rPr>
      </w:r>
    </w:p>
    <w:p>
      <w:pPr>
        <w:pStyle w:val="Normal"/>
        <w:numPr>
          <w:ilvl w:val="0"/>
          <w:numId w:val="4"/>
        </w:numPr>
        <w:rPr>
          <w:sz w:val="24"/>
          <w:szCs w:val="24"/>
        </w:rPr>
      </w:pPr>
      <w:r>
        <w:rPr>
          <w:sz w:val="24"/>
          <w:szCs w:val="24"/>
        </w:rPr>
        <w:t xml:space="preserve">Still, we have lost a champion.  CAEM will miss their culture of urgency, innovation and high expectations, which led to the unbundling of the classic power contract (or paper or water, etc) into its constituent parts and offered customers choices on each one. Enron also pioneered risk assessment and control systems.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What will be the fate of the movement towards retail energy competition in 2002?</w:t>
      </w:r>
    </w:p>
    <w:p>
      <w:pPr>
        <w:pStyle w:val="Normal"/>
        <w:rPr>
          <w:b/>
          <w:sz w:val="24"/>
          <w:szCs w:val="24"/>
        </w:rPr>
      </w:pPr>
      <w:r>
        <w:rPr>
          <w:b/>
          <w:sz w:val="24"/>
          <w:szCs w:val="24"/>
        </w:rPr>
      </w:r>
    </w:p>
    <w:p>
      <w:pPr>
        <w:pStyle w:val="Normal"/>
        <w:rPr>
          <w:sz w:val="24"/>
          <w:szCs w:val="24"/>
        </w:rPr>
      </w:pPr>
      <w:r>
        <w:rPr>
          <w:sz w:val="24"/>
          <w:szCs w:val="24"/>
        </w:rPr>
      </w:r>
    </w:p>
    <w:p>
      <w:pPr>
        <w:pStyle w:val="Normal"/>
        <w:numPr>
          <w:ilvl w:val="0"/>
          <w:numId w:val="7"/>
        </w:numPr>
        <w:rPr>
          <w:sz w:val="24"/>
          <w:szCs w:val="24"/>
        </w:rPr>
      </w:pPr>
      <w:r>
        <w:rPr>
          <w:sz w:val="24"/>
          <w:szCs w:val="24"/>
        </w:rPr>
        <w:t xml:space="preserve">CAEM believes that the movement toward retail energy competition will continue – albeit much more slowly. </w:t>
      </w:r>
    </w:p>
    <w:p>
      <w:pPr>
        <w:pStyle w:val="Normal"/>
        <w:ind w:start="360" w:end="0"/>
        <w:rPr>
          <w:sz w:val="24"/>
          <w:szCs w:val="24"/>
        </w:rPr>
      </w:pPr>
      <w:r>
        <w:rPr>
          <w:sz w:val="24"/>
          <w:szCs w:val="24"/>
        </w:rPr>
      </w:r>
    </w:p>
    <w:p>
      <w:pPr>
        <w:pStyle w:val="Normal"/>
        <w:numPr>
          <w:ilvl w:val="0"/>
          <w:numId w:val="3"/>
        </w:numPr>
        <w:rPr>
          <w:sz w:val="24"/>
          <w:szCs w:val="24"/>
        </w:rPr>
      </w:pPr>
      <w:r>
        <w:rPr>
          <w:sz w:val="24"/>
          <w:szCs w:val="24"/>
        </w:rPr>
        <w:t xml:space="preserve">Texas is the best model to date and will set the standard for other states in 2002 and beyond.  Why?  The best incentives are in place for large numbers of commercial and industrial consumers to competitively shop for supply.  The Texas model ties changes to the wholesale market to the retail market.  (Texas, through ERCOT, is unique in this respect.)  No price caps.  Market power of incumbents is limited.  Enlightened leadership at the Texas PUC from 1995 to 2000 (our friend, Pat Wood again – but we believe Commissioner Perlman is a star as well) and in the Governor’s office. </w:t>
      </w:r>
    </w:p>
    <w:p>
      <w:pPr>
        <w:pStyle w:val="Normal"/>
        <w:ind w:start="360" w:end="0"/>
        <w:rPr>
          <w:sz w:val="24"/>
          <w:szCs w:val="24"/>
        </w:rPr>
      </w:pPr>
      <w:r>
        <w:rPr>
          <w:sz w:val="24"/>
          <w:szCs w:val="24"/>
        </w:rPr>
      </w:r>
    </w:p>
    <w:p>
      <w:pPr>
        <w:pStyle w:val="Normal"/>
        <w:numPr>
          <w:ilvl w:val="0"/>
          <w:numId w:val="3"/>
        </w:numPr>
        <w:rPr>
          <w:sz w:val="24"/>
          <w:szCs w:val="24"/>
        </w:rPr>
      </w:pPr>
      <w:r>
        <w:rPr>
          <w:sz w:val="24"/>
          <w:szCs w:val="24"/>
        </w:rPr>
        <w:t xml:space="preserve">Other states that have already made a decision to move forward will seek to correct deficiencies – Pennsylvania, New Jersey, etc. – or avoid past mistakes altogether – Virginia.  However, there will be very limited movement in these states. </w:t>
      </w:r>
    </w:p>
    <w:p>
      <w:pPr>
        <w:pStyle w:val="Normal"/>
        <w:ind w:start="360" w:end="0"/>
        <w:rPr>
          <w:sz w:val="24"/>
          <w:szCs w:val="24"/>
        </w:rPr>
      </w:pPr>
      <w:r>
        <w:rPr>
          <w:sz w:val="24"/>
          <w:szCs w:val="24"/>
        </w:rPr>
      </w:r>
    </w:p>
    <w:p>
      <w:pPr>
        <w:pStyle w:val="Normal"/>
        <w:numPr>
          <w:ilvl w:val="0"/>
          <w:numId w:val="3"/>
        </w:numPr>
        <w:rPr>
          <w:sz w:val="24"/>
          <w:szCs w:val="24"/>
        </w:rPr>
      </w:pPr>
      <w:r>
        <w:rPr>
          <w:sz w:val="24"/>
          <w:szCs w:val="24"/>
        </w:rPr>
        <w:t xml:space="preserve">California will continue to suffer from a lack of imagination and poor leadership from the Governor on down.  There is a good chance that CAEM will again be awarding Governor Davis the “Red China” award in 2002. </w:t>
      </w:r>
    </w:p>
    <w:p>
      <w:pPr>
        <w:pStyle w:val="Normal"/>
        <w:rPr>
          <w:sz w:val="24"/>
          <w:szCs w:val="24"/>
        </w:rPr>
      </w:pPr>
      <w:r>
        <w:rPr>
          <w:sz w:val="24"/>
          <w:szCs w:val="24"/>
        </w:rPr>
      </w:r>
    </w:p>
    <w:p>
      <w:pPr>
        <w:pStyle w:val="Normal"/>
        <w:numPr>
          <w:ilvl w:val="0"/>
          <w:numId w:val="3"/>
        </w:numPr>
        <w:rPr>
          <w:sz w:val="24"/>
          <w:szCs w:val="24"/>
        </w:rPr>
      </w:pPr>
      <w:r>
        <w:rPr>
          <w:sz w:val="24"/>
          <w:szCs w:val="24"/>
        </w:rPr>
        <w:t xml:space="preserve">Californians will be reminded again that rolling blackouts are a form of “involuntary” conservation. </w:t>
      </w:r>
    </w:p>
    <w:p>
      <w:pPr>
        <w:pStyle w:val="Normal"/>
        <w:ind w:start="360" w:end="0"/>
        <w:rPr>
          <w:sz w:val="24"/>
          <w:szCs w:val="24"/>
        </w:rPr>
      </w:pPr>
      <w:r>
        <w:rPr>
          <w:sz w:val="24"/>
          <w:szCs w:val="24"/>
        </w:rPr>
      </w:r>
    </w:p>
    <w:p>
      <w:pPr>
        <w:pStyle w:val="Normal"/>
        <w:numPr>
          <w:ilvl w:val="0"/>
          <w:numId w:val="3"/>
        </w:numPr>
        <w:rPr>
          <w:sz w:val="24"/>
          <w:szCs w:val="24"/>
        </w:rPr>
      </w:pPr>
      <w:r>
        <w:rPr>
          <w:sz w:val="24"/>
          <w:szCs w:val="24"/>
        </w:rPr>
        <w:t xml:space="preserve">Very limited movement, perhaps some experimentation or demonstration projects, in those states that have done nothing to date. </w:t>
      </w:r>
    </w:p>
    <w:p>
      <w:pPr>
        <w:pStyle w:val="Normal"/>
        <w:rPr>
          <w:sz w:val="24"/>
          <w:szCs w:val="24"/>
        </w:rPr>
      </w:pPr>
      <w:r>
        <w:rPr>
          <w:sz w:val="24"/>
          <w:szCs w:val="24"/>
        </w:rPr>
      </w:r>
    </w:p>
    <w:p>
      <w:pPr>
        <w:pStyle w:val="Normal"/>
        <w:numPr>
          <w:ilvl w:val="0"/>
          <w:numId w:val="3"/>
        </w:numPr>
        <w:rPr>
          <w:sz w:val="24"/>
          <w:szCs w:val="24"/>
        </w:rPr>
      </w:pPr>
      <w:r>
        <w:rPr>
          <w:sz w:val="24"/>
          <w:szCs w:val="24"/>
        </w:rPr>
        <w:t xml:space="preserve">Increasing effort to approximate market-like conditions, but under a regulated, cost-based system, with predictable results.  </w:t>
      </w:r>
    </w:p>
    <w:p>
      <w:pPr>
        <w:pStyle w:val="Normal"/>
        <w:ind w:start="360" w:end="0"/>
        <w:rPr>
          <w:sz w:val="24"/>
          <w:szCs w:val="24"/>
        </w:rPr>
      </w:pPr>
      <w:r>
        <w:rPr>
          <w:sz w:val="24"/>
          <w:szCs w:val="24"/>
        </w:rPr>
      </w:r>
    </w:p>
    <w:p>
      <w:pPr>
        <w:pStyle w:val="Normal"/>
        <w:numPr>
          <w:ilvl w:val="0"/>
          <w:numId w:val="3"/>
        </w:numPr>
        <w:rPr>
          <w:sz w:val="24"/>
          <w:szCs w:val="24"/>
        </w:rPr>
      </w:pPr>
      <w:r>
        <w:rPr>
          <w:sz w:val="24"/>
          <w:szCs w:val="24"/>
        </w:rPr>
        <w:t xml:space="preserve">Actually, beyond Texas, the best hope for significant movement towards competition is in North America is in Canada, particularly Alberta and Ontario.  Given the increasing interconnection between the U.S. and Canada, this will slowly work its way into the United States.  </w:t>
      </w:r>
    </w:p>
    <w:p>
      <w:pPr>
        <w:pStyle w:val="Normal"/>
        <w:rPr>
          <w:sz w:val="24"/>
          <w:szCs w:val="24"/>
        </w:rPr>
      </w:pPr>
      <w:r>
        <w:rPr>
          <w:sz w:val="24"/>
          <w:szCs w:val="24"/>
        </w:rPr>
      </w:r>
    </w:p>
    <w:p>
      <w:pPr>
        <w:pStyle w:val="Normal"/>
        <w:numPr>
          <w:ilvl w:val="0"/>
          <w:numId w:val="3"/>
        </w:numPr>
        <w:rPr>
          <w:sz w:val="24"/>
          <w:szCs w:val="24"/>
        </w:rPr>
      </w:pPr>
      <w:r>
        <w:rPr>
          <w:sz w:val="24"/>
          <w:szCs w:val="24"/>
        </w:rPr>
        <w:t xml:space="preserve">It will be another wild ride for energy marketers in 2002.  More power to them. </w:t>
      </w:r>
    </w:p>
    <w:p>
      <w:pPr>
        <w:pStyle w:val="Normal"/>
        <w:rPr>
          <w:sz w:val="24"/>
          <w:szCs w:val="24"/>
        </w:rPr>
      </w:pPr>
      <w:r>
        <w:rPr>
          <w:sz w:val="24"/>
          <w:szCs w:val="24"/>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What will happen on the wholesale side of the picture in 2002?</w:t>
      </w:r>
    </w:p>
    <w:p>
      <w:pPr>
        <w:pStyle w:val="Normal"/>
        <w:rPr>
          <w:b/>
          <w:sz w:val="24"/>
          <w:szCs w:val="24"/>
        </w:rPr>
      </w:pPr>
      <w:r>
        <w:rPr>
          <w:b/>
          <w:sz w:val="24"/>
          <w:szCs w:val="24"/>
        </w:rPr>
      </w:r>
    </w:p>
    <w:p>
      <w:pPr>
        <w:pStyle w:val="Normal"/>
        <w:rPr>
          <w:sz w:val="24"/>
          <w:szCs w:val="24"/>
        </w:rPr>
      </w:pPr>
      <w:r>
        <w:rPr>
          <w:sz w:val="24"/>
          <w:szCs w:val="24"/>
        </w:rPr>
      </w:r>
    </w:p>
    <w:p>
      <w:pPr>
        <w:pStyle w:val="Normal"/>
        <w:numPr>
          <w:ilvl w:val="0"/>
          <w:numId w:val="8"/>
        </w:numPr>
        <w:rPr>
          <w:sz w:val="24"/>
          <w:szCs w:val="24"/>
        </w:rPr>
      </w:pPr>
      <w:r>
        <w:rPr>
          <w:sz w:val="24"/>
          <w:szCs w:val="24"/>
        </w:rPr>
        <w:t xml:space="preserve">CAEM believes that there will be significant strides made to increase liquidity and competition in the wholesale market for electricity. </w:t>
      </w:r>
    </w:p>
    <w:p>
      <w:pPr>
        <w:pStyle w:val="Normal"/>
        <w:ind w:start="360" w:end="0"/>
        <w:rPr>
          <w:sz w:val="24"/>
          <w:szCs w:val="24"/>
        </w:rPr>
      </w:pPr>
      <w:r>
        <w:rPr>
          <w:sz w:val="24"/>
          <w:szCs w:val="24"/>
        </w:rPr>
      </w:r>
    </w:p>
    <w:p>
      <w:pPr>
        <w:pStyle w:val="Normal"/>
        <w:numPr>
          <w:ilvl w:val="0"/>
          <w:numId w:val="1"/>
        </w:numPr>
        <w:rPr>
          <w:sz w:val="24"/>
          <w:szCs w:val="24"/>
        </w:rPr>
      </w:pPr>
      <w:r>
        <w:rPr>
          <w:sz w:val="24"/>
          <w:szCs w:val="24"/>
        </w:rPr>
        <w:t xml:space="preserve">The Federal Energy Regulatory Commission will be successful, to a degree, in implementing Super RTOs (regional transmission organizations). </w:t>
      </w:r>
    </w:p>
    <w:p>
      <w:pPr>
        <w:pStyle w:val="Normal"/>
        <w:rPr>
          <w:sz w:val="24"/>
          <w:szCs w:val="24"/>
        </w:rPr>
      </w:pPr>
      <w:r>
        <w:rPr>
          <w:sz w:val="24"/>
          <w:szCs w:val="24"/>
        </w:rPr>
      </w:r>
    </w:p>
    <w:p>
      <w:pPr>
        <w:pStyle w:val="Normal"/>
        <w:ind w:start="360" w:end="0"/>
        <w:rPr>
          <w:sz w:val="24"/>
          <w:szCs w:val="24"/>
        </w:rPr>
      </w:pPr>
      <w:r>
        <w:rPr>
          <w:sz w:val="24"/>
          <w:szCs w:val="24"/>
        </w:rPr>
      </w:r>
    </w:p>
    <w:p>
      <w:pPr>
        <w:pStyle w:val="Normal"/>
        <w:numPr>
          <w:ilvl w:val="0"/>
          <w:numId w:val="1"/>
        </w:numPr>
        <w:rPr>
          <w:sz w:val="24"/>
          <w:szCs w:val="24"/>
        </w:rPr>
      </w:pPr>
      <w:r>
        <w:rPr>
          <w:sz w:val="24"/>
          <w:szCs w:val="24"/>
        </w:rPr>
        <w:t xml:space="preserve">CAEM supports the Bush Administration’s proposal to give eminent domain to FERC for the siting of new transmission lines.  However, this proposal faces tough sledding in Congress.  CAEM believes it will pass in some form – probably very watered down – out of necessity, but not out of love. Many in Congress still believe we can conserve our way to prosperity. </w:t>
      </w:r>
    </w:p>
    <w:p>
      <w:pPr>
        <w:pStyle w:val="Normal"/>
        <w:ind w:start="360" w:end="0"/>
        <w:rPr>
          <w:sz w:val="24"/>
          <w:szCs w:val="24"/>
        </w:rPr>
      </w:pPr>
      <w:r>
        <w:rPr>
          <w:sz w:val="24"/>
          <w:szCs w:val="24"/>
        </w:rPr>
      </w:r>
    </w:p>
    <w:p>
      <w:pPr>
        <w:pStyle w:val="Normal"/>
        <w:numPr>
          <w:ilvl w:val="0"/>
          <w:numId w:val="1"/>
        </w:numPr>
        <w:rPr>
          <w:sz w:val="24"/>
          <w:szCs w:val="24"/>
        </w:rPr>
      </w:pPr>
      <w:r>
        <w:rPr>
          <w:sz w:val="24"/>
          <w:szCs w:val="24"/>
        </w:rPr>
        <w:t xml:space="preserve">The Federal government and the states will make progress – probably embodied in a political deal – on greater cooperation.  This will be regional in focus.  Both sides will give significant concessions to realize this.  </w:t>
      </w:r>
    </w:p>
    <w:p>
      <w:pPr>
        <w:pStyle w:val="Normal"/>
        <w:rPr>
          <w:sz w:val="24"/>
          <w:szCs w:val="24"/>
        </w:rPr>
      </w:pPr>
      <w:r>
        <w:rPr>
          <w:sz w:val="24"/>
          <w:szCs w:val="24"/>
        </w:rPr>
      </w:r>
    </w:p>
    <w:p>
      <w:pPr>
        <w:pStyle w:val="Normal"/>
        <w:numPr>
          <w:ilvl w:val="0"/>
          <w:numId w:val="1"/>
        </w:numPr>
        <w:rPr>
          <w:sz w:val="24"/>
          <w:szCs w:val="24"/>
        </w:rPr>
      </w:pPr>
      <w:r>
        <w:rPr>
          <w:sz w:val="24"/>
          <w:szCs w:val="24"/>
        </w:rPr>
        <w:t xml:space="preserve">New players will enter market as it grows, including the oil companies and more foreign-based companies. </w:t>
      </w:r>
    </w:p>
    <w:p>
      <w:pPr>
        <w:pStyle w:val="Normal"/>
        <w:rPr>
          <w:sz w:val="24"/>
          <w:szCs w:val="24"/>
        </w:rPr>
      </w:pPr>
      <w:r>
        <w:rPr>
          <w:sz w:val="24"/>
          <w:szCs w:val="24"/>
        </w:rPr>
      </w:r>
      <w:r>
        <w:br w:type="page"/>
      </w:r>
    </w:p>
    <w:p>
      <w:pPr>
        <w:pStyle w:val="Normal"/>
        <w:rPr>
          <w:b/>
          <w:sz w:val="28"/>
          <w:szCs w:val="28"/>
        </w:rPr>
      </w:pPr>
      <w:r>
        <w:rPr>
          <w:b/>
          <w:sz w:val="28"/>
          <w:szCs w:val="28"/>
        </w:rPr>
        <w:t>Wildcards/ Predictions in 2002</w:t>
      </w:r>
    </w:p>
    <w:p>
      <w:pPr>
        <w:pStyle w:val="Normal"/>
        <w:rPr>
          <w:b/>
          <w:sz w:val="28"/>
          <w:szCs w:val="28"/>
        </w:rPr>
      </w:pPr>
      <w:r>
        <w:rPr>
          <w:b/>
          <w:sz w:val="28"/>
          <w:szCs w:val="28"/>
        </w:rPr>
      </w:r>
    </w:p>
    <w:p>
      <w:pPr>
        <w:pStyle w:val="Normal"/>
        <w:rPr>
          <w:b/>
          <w:sz w:val="24"/>
          <w:szCs w:val="24"/>
        </w:rPr>
      </w:pPr>
      <w:r>
        <w:rPr>
          <w:b/>
          <w:sz w:val="24"/>
          <w:szCs w:val="24"/>
        </w:rPr>
      </w:r>
    </w:p>
    <w:p>
      <w:pPr>
        <w:pStyle w:val="Normal"/>
        <w:numPr>
          <w:ilvl w:val="0"/>
          <w:numId w:val="9"/>
        </w:numPr>
        <w:rPr>
          <w:sz w:val="24"/>
          <w:szCs w:val="24"/>
        </w:rPr>
      </w:pPr>
      <w:r>
        <w:rPr>
          <w:sz w:val="24"/>
          <w:szCs w:val="24"/>
        </w:rPr>
        <w:t xml:space="preserve">The Bush Administration will come under increasing pressure to show leadership in the area of energy restructuring.  To date, the Bush Administration has stayed on the sidelines – except making the right noises here and there – of making energy markets more competitive.  This will need to change, beginning with more funds and staff devoted to helping the states on the retail side and supporting FERC in their efforts on the wholesale side. </w:t>
      </w:r>
    </w:p>
    <w:p>
      <w:pPr>
        <w:pStyle w:val="Normal"/>
        <w:ind w:start="360" w:end="0"/>
        <w:rPr>
          <w:sz w:val="24"/>
          <w:szCs w:val="24"/>
        </w:rPr>
      </w:pPr>
      <w:r>
        <w:rPr>
          <w:sz w:val="24"/>
          <w:szCs w:val="24"/>
        </w:rPr>
      </w:r>
    </w:p>
    <w:p>
      <w:pPr>
        <w:pStyle w:val="Normal"/>
        <w:numPr>
          <w:ilvl w:val="0"/>
          <w:numId w:val="2"/>
        </w:numPr>
        <w:rPr>
          <w:sz w:val="24"/>
          <w:szCs w:val="24"/>
        </w:rPr>
      </w:pPr>
      <w:r>
        <w:rPr>
          <w:sz w:val="24"/>
          <w:szCs w:val="24"/>
        </w:rPr>
        <w:t xml:space="preserve">The new Electricity Advisory Board appointed by DOE Secretary Abraham will be seen for what it is – a sop to campaign supporters.  Given its current make up, we expect very little to come of it.  Couldn’t they find more energy marketers, technology companies … anyone that is a bit more pro-competition? </w:t>
      </w:r>
    </w:p>
    <w:p>
      <w:pPr>
        <w:pStyle w:val="Normal"/>
        <w:numPr>
          <w:ilvl w:val="0"/>
          <w:numId w:val="2"/>
        </w:numPr>
        <w:rPr>
          <w:sz w:val="24"/>
          <w:szCs w:val="24"/>
        </w:rPr>
      </w:pPr>
      <w:r>
        <w:rPr>
          <w:sz w:val="24"/>
          <w:szCs w:val="24"/>
        </w:rPr>
        <w:t xml:space="preserve">The Department of Energy will continue to have little impact -- if any -- on energy restructuring issues and will remain largely irrelevant to the competitive energy market.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The Department of Energy will continue to fight for tougher appliance efficiency standards, while totally ignoring the far lower efficiency of electricity production, thus marginalizing its impact on energy efficiency. </w:t>
      </w:r>
    </w:p>
    <w:p>
      <w:pPr>
        <w:pStyle w:val="Normal"/>
        <w:rPr>
          <w:sz w:val="24"/>
          <w:szCs w:val="24"/>
        </w:rPr>
      </w:pPr>
      <w:r>
        <w:rPr>
          <w:sz w:val="24"/>
          <w:szCs w:val="24"/>
        </w:rPr>
      </w:r>
    </w:p>
    <w:p>
      <w:pPr>
        <w:pStyle w:val="Normal"/>
        <w:numPr>
          <w:ilvl w:val="0"/>
          <w:numId w:val="2"/>
        </w:numPr>
        <w:rPr>
          <w:sz w:val="24"/>
          <w:szCs w:val="24"/>
        </w:rPr>
      </w:pPr>
      <w:r>
        <w:rPr>
          <w:sz w:val="24"/>
          <w:szCs w:val="24"/>
        </w:rPr>
        <w:t>“</w:t>
      </w:r>
      <w:r>
        <w:rPr>
          <w:sz w:val="24"/>
          <w:szCs w:val="24"/>
        </w:rPr>
        <w:t xml:space="preserve">Comprehensive” energy legislation will probably pass in 2002.  The question is whether it will be truly comprehensive and have a separate and new section devoted to electric restructuring.  (The Senate version does and the House is working on one.)  Our guess is that it will to some degree.  Our hope is that the energy legislation moves beyond pork politics and members of Congress will resist the temptation to earmark projects.  Fat chance of that happening, but it is Christmas time. </w:t>
      </w:r>
    </w:p>
    <w:p>
      <w:pPr>
        <w:pStyle w:val="Normal"/>
        <w:ind w:start="360" w:end="0"/>
        <w:rPr>
          <w:sz w:val="24"/>
          <w:szCs w:val="24"/>
        </w:rPr>
      </w:pPr>
      <w:r>
        <w:rPr>
          <w:sz w:val="24"/>
          <w:szCs w:val="24"/>
        </w:rPr>
      </w:r>
    </w:p>
    <w:p>
      <w:pPr>
        <w:pStyle w:val="Normal"/>
        <w:numPr>
          <w:ilvl w:val="0"/>
          <w:numId w:val="2"/>
        </w:numPr>
        <w:rPr>
          <w:sz w:val="24"/>
          <w:szCs w:val="24"/>
        </w:rPr>
      </w:pPr>
      <w:r>
        <w:rPr>
          <w:sz w:val="24"/>
          <w:szCs w:val="24"/>
        </w:rPr>
        <w:t xml:space="preserve">As part of the political deal, there is the opportunity for a “New Federalism” policy to be realized for the energy sector.  If the Bush Administration truly wants to move competition forward, and yet have the states go along with it, a new block grant with conditions for moving towards competition could be formed to serve as a carrot.  The Feds do it with highway funds and education – why not energy? The states, familiar with federal block grants for highways and education will try to cut as many of the “strings” attached to the grants as possible. </w:t>
      </w:r>
    </w:p>
    <w:p>
      <w:pPr>
        <w:pStyle w:val="Normal"/>
        <w:rPr>
          <w:sz w:val="24"/>
          <w:szCs w:val="24"/>
        </w:rPr>
      </w:pPr>
      <w:r>
        <w:rPr>
          <w:sz w:val="24"/>
          <w:szCs w:val="24"/>
        </w:rPr>
      </w:r>
    </w:p>
    <w:p>
      <w:pPr>
        <w:pStyle w:val="Normal"/>
        <w:numPr>
          <w:ilvl w:val="0"/>
          <w:numId w:val="2"/>
        </w:numPr>
        <w:rPr>
          <w:sz w:val="24"/>
          <w:szCs w:val="24"/>
        </w:rPr>
      </w:pPr>
      <w:r>
        <w:rPr>
          <w:sz w:val="24"/>
          <w:szCs w:val="24"/>
        </w:rPr>
        <w:t>A major blackout in 2002.  The laws of probability suggest that we are due for a reminder about how old our infrastructure is and how the lack of attention to how these markets are performing will have consequences.  The U.S. has dodged many bullets in the past – but probably not this year. (BPA will likely not cause the blackout this time, as it did twice in 1996, unless the Pacific Northwest gets a lot of snow this winter or a lot of rain this spring.) ( The blackout will likely not happen in Manhattan, since peak demand was reduced by ~ 300 mW on September 11</w:t>
      </w:r>
      <w:r>
        <w:rPr>
          <w:sz w:val="24"/>
          <w:szCs w:val="24"/>
          <w:vertAlign w:val="superscript"/>
        </w:rPr>
        <w:t>th</w:t>
      </w:r>
      <w:r>
        <w:rPr>
          <w:sz w:val="24"/>
          <w:szCs w:val="24"/>
        </w:rPr>
        <w:t xml:space="preserve">.)  We recognize this a risky prediction – predicting what terrorists or what the weather may do always is – but it is only a matter of time.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The environmental movement will begin to wake up to the fact that its interests are not the same as those of consumer activists.  Competition will lead to more efficient production – and thus less pollution – to the extent it is allowed to occur.  Seeking lower prices at all costs, including the cost to the environment, consumer advocates want to preserve the monopoly model, which has led and will continue to lead to the maximum use of old, and polluting technologies and infrastructure.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For that matter, the anti-coalition (kind of like anti-matter, not much there) of critics should splinter even further vs. organized labor (high costs, high prices).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New grid-enhancing technologies, e.g., superconductivity, and distributed energy technologies, e.g., fuel cells, should make significant market gains in 2002, assuming Congress, DOE and EPA take no further actions to prevent this from happening.  There is a lot of pessimism in the distributed energy community right now – and who wouldn’t be a bit pessimistic, given the exit of Honeywell from the market, the constant technical setbacks, the wariness of the utilities, the bickering and backbiting, etc.  But folks, this is the future – and the future starts now.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EPA will continue to protect the “right” of existing generators to pollute at rates an order of magnitude greater than the pollution rates required of new generators, “in the interest of fairness”.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EPA will continue to discourage incremental improvements in the efficiency and emissions of existing power plants by insisting that the incremental improvements subject the plants to new source review.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EPA will proceed with issuance of a proposed guidance document requiring combined heat and power systems and building cooling, heating and power systems to achieve better combined electrical and thermal efficiency than the best available separate electric generation and thermal energy conversion technologies, but will not require that all separate electric generation and thermal energy conversion installations use the best available technology. (No one will question why this efficiency requirement is coming from EPA and not DOE.) </w:t>
      </w:r>
    </w:p>
    <w:p>
      <w:pPr>
        <w:pStyle w:val="Normal"/>
        <w:rPr>
          <w:sz w:val="24"/>
          <w:szCs w:val="24"/>
        </w:rPr>
      </w:pPr>
      <w:r>
        <w:rPr>
          <w:sz w:val="24"/>
          <w:szCs w:val="24"/>
        </w:rPr>
      </w:r>
    </w:p>
    <w:p>
      <w:pPr>
        <w:pStyle w:val="Normal"/>
        <w:numPr>
          <w:ilvl w:val="0"/>
          <w:numId w:val="2"/>
        </w:numPr>
        <w:rPr>
          <w:sz w:val="24"/>
          <w:szCs w:val="24"/>
        </w:rPr>
      </w:pPr>
      <w:r>
        <w:rPr>
          <w:sz w:val="24"/>
          <w:szCs w:val="24"/>
        </w:rPr>
        <w:t xml:space="preserve">The tax code will continue to require owners of on-site generation systems to depreciate the systems over time periods longer than their expected useful lives. </w:t>
      </w:r>
    </w:p>
    <w:p>
      <w:pPr>
        <w:pStyle w:val="Normal"/>
        <w:rPr>
          <w:sz w:val="24"/>
          <w:szCs w:val="24"/>
        </w:rPr>
      </w:pPr>
      <w:r>
        <w:rPr>
          <w:sz w:val="24"/>
          <w:szCs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 w:numId="7">
    <w:abstractNumId w:val="3"/>
    <w:lvlOverride w:ilvl="0">
      <w:startOverride w:val="1"/>
    </w:lvlOverride>
  </w:num>
  <w:num w:numId="8">
    <w:abstractNumId w:val="1"/>
    <w:lvlOverride w:ilvl="0">
      <w:startOverride w:val="1"/>
    </w:lvlOverride>
  </w:num>
  <w:num w:numId="9">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2001-12-16T23:49:00Z</dcterms:created>
  <dc:creator>Hope Duncan</dc:creator>
  <dc:description/>
  <dc:language>en-CA</dc:language>
  <cp:lastModifiedBy>Hope Duncan</cp:lastModifiedBy>
  <dcterms:modified xsi:type="dcterms:W3CDTF">2001-12-16T23:49:00Z</dcterms:modified>
  <cp:revision>2</cp:revision>
  <dc:subject/>
  <dc:title>CAEM PREDICTIONS IN 2002</dc:title>
</cp:coreProperties>
</file>