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pPr>
      <w:r>
        <w:rPr/>
        <w:t>Contract/Transaction Authorisation Control Sheet</w:t>
      </w:r>
    </w:p>
    <w:p>
      <w:pPr>
        <w:pStyle w:val="Normal"/>
        <w:tabs>
          <w:tab w:val="clear" w:pos="720"/>
          <w:tab w:val="left" w:pos="7380" w:leader="none"/>
        </w:tabs>
        <w:jc w:val="center"/>
        <w:rPr/>
      </w:pPr>
      <w:r>
        <w:rPr/>
        <w:t>(Last Revised 12 July 2000)</w:t>
      </w:r>
    </w:p>
    <w:tbl>
      <w:tblPr>
        <w:tblW w:w="9419" w:type="dxa"/>
        <w:jc w:val="start"/>
        <w:tblInd w:w="-176" w:type="dxa"/>
        <w:tblLayout w:type="fixed"/>
        <w:tblCellMar>
          <w:top w:w="0" w:type="dxa"/>
          <w:start w:w="108" w:type="dxa"/>
          <w:bottom w:w="0" w:type="dxa"/>
          <w:end w:w="108" w:type="dxa"/>
        </w:tblCellMar>
      </w:tblPr>
      <w:tblGrid>
        <w:gridCol w:w="3254"/>
        <w:gridCol w:w="6165"/>
      </w:tblGrid>
      <w:tr>
        <w:trPr/>
        <w:tc>
          <w:tcPr>
            <w:tcW w:w="3254" w:type="dxa"/>
            <w:tcBorders>
              <w:top w:val="single" w:sz="6" w:space="0" w:color="000000"/>
              <w:start w:val="single" w:sz="6" w:space="0" w:color="000000"/>
            </w:tcBorders>
          </w:tcPr>
          <w:p>
            <w:pPr>
              <w:pStyle w:val="Normal"/>
              <w:spacing w:lineRule="auto" w:line="360"/>
              <w:rPr>
                <w:sz w:val="20"/>
              </w:rPr>
            </w:pPr>
            <w:r>
              <w:rPr>
                <w:sz w:val="20"/>
              </w:rPr>
              <w:t>Enron Entity (ies):</w:t>
            </w:r>
          </w:p>
        </w:tc>
        <w:tc>
          <w:tcPr>
            <w:tcW w:w="6165" w:type="dxa"/>
            <w:tcBorders>
              <w:top w:val="single" w:sz="6" w:space="0" w:color="000000"/>
              <w:end w:val="single" w:sz="6" w:space="0" w:color="000000"/>
            </w:tcBorders>
          </w:tcPr>
          <w:p>
            <w:pPr>
              <w:pStyle w:val="Normal"/>
              <w:snapToGrid w:val="false"/>
              <w:spacing w:lineRule="auto" w:line="360"/>
              <w:rPr>
                <w:sz w:val="20"/>
              </w:rPr>
            </w:pPr>
            <w:r>
              <w:rPr>
                <w:sz w:val="20"/>
              </w:rPr>
            </w:r>
          </w:p>
        </w:tc>
      </w:tr>
      <w:tr>
        <w:trPr/>
        <w:tc>
          <w:tcPr>
            <w:tcW w:w="3254" w:type="dxa"/>
            <w:tcBorders>
              <w:top w:val="single" w:sz="6" w:space="0" w:color="000000"/>
              <w:start w:val="single" w:sz="6" w:space="0" w:color="000000"/>
            </w:tcBorders>
          </w:tcPr>
          <w:p>
            <w:pPr>
              <w:pStyle w:val="Normal"/>
              <w:spacing w:lineRule="auto" w:line="360"/>
              <w:rPr>
                <w:sz w:val="20"/>
              </w:rPr>
            </w:pPr>
            <w:r>
              <w:rPr>
                <w:sz w:val="20"/>
              </w:rPr>
              <w:t>Counterparty (ies):</w:t>
            </w:r>
          </w:p>
        </w:tc>
        <w:tc>
          <w:tcPr>
            <w:tcW w:w="6165" w:type="dxa"/>
            <w:tcBorders>
              <w:top w:val="single" w:sz="6" w:space="0" w:color="000000"/>
              <w:end w:val="single" w:sz="6" w:space="0" w:color="000000"/>
            </w:tcBorders>
          </w:tcPr>
          <w:p>
            <w:pPr>
              <w:pStyle w:val="Normal"/>
              <w:snapToGrid w:val="false"/>
              <w:spacing w:lineRule="auto" w:line="360"/>
              <w:rPr>
                <w:sz w:val="20"/>
              </w:rPr>
            </w:pPr>
            <w:r>
              <w:rPr>
                <w:sz w:val="20"/>
              </w:rPr>
            </w:r>
          </w:p>
        </w:tc>
      </w:tr>
      <w:tr>
        <w:trPr/>
        <w:tc>
          <w:tcPr>
            <w:tcW w:w="3254" w:type="dxa"/>
            <w:tcBorders>
              <w:top w:val="single" w:sz="6" w:space="0" w:color="000000"/>
              <w:start w:val="single" w:sz="6" w:space="0" w:color="000000"/>
            </w:tcBorders>
          </w:tcPr>
          <w:p>
            <w:pPr>
              <w:pStyle w:val="Normal"/>
              <w:spacing w:lineRule="auto" w:line="360"/>
              <w:rPr>
                <w:sz w:val="20"/>
              </w:rPr>
            </w:pPr>
            <w:r>
              <w:rPr>
                <w:sz w:val="20"/>
              </w:rPr>
              <w:t>Deal Maker:</w:t>
            </w:r>
          </w:p>
        </w:tc>
        <w:tc>
          <w:tcPr>
            <w:tcW w:w="6165" w:type="dxa"/>
            <w:tcBorders>
              <w:top w:val="single" w:sz="6" w:space="0" w:color="000000"/>
              <w:end w:val="single" w:sz="6" w:space="0" w:color="000000"/>
            </w:tcBorders>
          </w:tcPr>
          <w:p>
            <w:pPr>
              <w:pStyle w:val="Normal"/>
              <w:snapToGrid w:val="false"/>
              <w:spacing w:lineRule="auto" w:line="360"/>
              <w:rPr>
                <w:sz w:val="20"/>
              </w:rPr>
            </w:pPr>
            <w:r>
              <w:rPr>
                <w:sz w:val="20"/>
              </w:rPr>
            </w:r>
          </w:p>
        </w:tc>
      </w:tr>
      <w:tr>
        <w:trPr/>
        <w:tc>
          <w:tcPr>
            <w:tcW w:w="3254" w:type="dxa"/>
            <w:tcBorders>
              <w:top w:val="single" w:sz="6" w:space="0" w:color="000000"/>
              <w:start w:val="single" w:sz="6" w:space="0" w:color="000000"/>
            </w:tcBorders>
          </w:tcPr>
          <w:p>
            <w:pPr>
              <w:pStyle w:val="Normal"/>
              <w:spacing w:lineRule="auto" w:line="360"/>
              <w:rPr>
                <w:sz w:val="20"/>
              </w:rPr>
            </w:pPr>
            <w:r>
              <w:rPr>
                <w:sz w:val="20"/>
              </w:rPr>
              <w:t>Date:</w:t>
            </w:r>
          </w:p>
        </w:tc>
        <w:tc>
          <w:tcPr>
            <w:tcW w:w="6165" w:type="dxa"/>
            <w:tcBorders>
              <w:top w:val="single" w:sz="6" w:space="0" w:color="000000"/>
              <w:end w:val="single" w:sz="6" w:space="0" w:color="000000"/>
            </w:tcBorders>
          </w:tcPr>
          <w:p>
            <w:pPr>
              <w:pStyle w:val="Normal"/>
              <w:snapToGrid w:val="false"/>
              <w:spacing w:lineRule="auto" w:line="360"/>
              <w:rPr>
                <w:sz w:val="20"/>
              </w:rPr>
            </w:pPr>
            <w:r>
              <w:rPr>
                <w:sz w:val="20"/>
              </w:rPr>
            </w:r>
          </w:p>
        </w:tc>
      </w:tr>
      <w:tr>
        <w:trPr/>
        <w:tc>
          <w:tcPr>
            <w:tcW w:w="3254" w:type="dxa"/>
            <w:tcBorders>
              <w:top w:val="single" w:sz="6" w:space="0" w:color="000000"/>
              <w:start w:val="single" w:sz="6" w:space="0" w:color="000000"/>
            </w:tcBorders>
          </w:tcPr>
          <w:p>
            <w:pPr>
              <w:pStyle w:val="Normal"/>
              <w:rPr>
                <w:sz w:val="20"/>
              </w:rPr>
            </w:pPr>
            <w:r>
              <w:rPr>
                <w:sz w:val="20"/>
              </w:rPr>
              <w:t>Contract/Transaction Description (please attach final version or most</w:t>
            </w:r>
          </w:p>
        </w:tc>
        <w:tc>
          <w:tcPr>
            <w:tcW w:w="6165" w:type="dxa"/>
            <w:tcBorders>
              <w:top w:val="single" w:sz="6" w:space="0" w:color="000000"/>
              <w:end w:val="single" w:sz="6" w:space="0" w:color="000000"/>
            </w:tcBorders>
          </w:tcPr>
          <w:p>
            <w:pPr>
              <w:pStyle w:val="Normal"/>
              <w:snapToGrid w:val="false"/>
              <w:spacing w:lineRule="auto" w:line="360"/>
              <w:rPr>
                <w:sz w:val="20"/>
              </w:rPr>
            </w:pPr>
            <w:r>
              <w:rPr>
                <w:sz w:val="20"/>
              </w:rPr>
            </w:r>
          </w:p>
        </w:tc>
      </w:tr>
      <w:tr>
        <w:trPr/>
        <w:tc>
          <w:tcPr>
            <w:tcW w:w="3254" w:type="dxa"/>
            <w:tcBorders>
              <w:start w:val="single" w:sz="6" w:space="0" w:color="000000"/>
            </w:tcBorders>
          </w:tcPr>
          <w:p>
            <w:pPr>
              <w:pStyle w:val="Normal"/>
              <w:spacing w:lineRule="auto" w:line="360"/>
              <w:rPr>
                <w:sz w:val="20"/>
              </w:rPr>
            </w:pPr>
            <w:r>
              <w:rPr>
                <w:sz w:val="20"/>
              </w:rPr>
              <w:t>Recent draft of contract(s)):</w:t>
            </w:r>
          </w:p>
        </w:tc>
        <w:tc>
          <w:tcPr>
            <w:tcW w:w="6165" w:type="dxa"/>
            <w:tcBorders>
              <w:top w:val="single" w:sz="6" w:space="0" w:color="000000"/>
              <w:end w:val="single" w:sz="6" w:space="0" w:color="000000"/>
            </w:tcBorders>
          </w:tcPr>
          <w:p>
            <w:pPr>
              <w:pStyle w:val="Normal"/>
              <w:snapToGrid w:val="false"/>
              <w:rPr>
                <w:sz w:val="20"/>
              </w:rPr>
            </w:pPr>
            <w:r>
              <w:rPr>
                <w:sz w:val="20"/>
              </w:rPr>
            </w:r>
          </w:p>
        </w:tc>
      </w:tr>
      <w:tr>
        <w:trPr/>
        <w:tc>
          <w:tcPr>
            <w:tcW w:w="3254" w:type="dxa"/>
            <w:tcBorders>
              <w:top w:val="single" w:sz="4" w:space="0" w:color="000000"/>
              <w:start w:val="single" w:sz="6" w:space="0" w:color="000000"/>
              <w:bottom w:val="single" w:sz="6" w:space="0" w:color="000000"/>
            </w:tcBorders>
          </w:tcPr>
          <w:p>
            <w:pPr>
              <w:pStyle w:val="Normal"/>
              <w:spacing w:lineRule="auto" w:line="360"/>
              <w:rPr>
                <w:sz w:val="20"/>
              </w:rPr>
            </w:pPr>
            <w:r>
              <w:rPr>
                <w:sz w:val="20"/>
              </w:rPr>
              <w:t>Deal Maker:</w:t>
            </w:r>
          </w:p>
        </w:tc>
        <w:tc>
          <w:tcPr>
            <w:tcW w:w="6165" w:type="dxa"/>
            <w:tcBorders>
              <w:top w:val="single" w:sz="4" w:space="0" w:color="000000"/>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tcBorders>
          </w:tcPr>
          <w:p>
            <w:pPr>
              <w:pStyle w:val="Normal"/>
              <w:spacing w:lineRule="auto" w:line="360"/>
              <w:rPr>
                <w:sz w:val="20"/>
              </w:rPr>
            </w:pPr>
            <w:r>
              <w:rPr>
                <w:sz w:val="20"/>
              </w:rPr>
              <w:t>Credit Risk Management (RAC):</w:t>
            </w:r>
          </w:p>
        </w:tc>
        <w:tc>
          <w:tcPr>
            <w:tcW w:w="6165" w:type="dxa"/>
            <w:tcBorders>
              <w:end w:val="single" w:sz="6" w:space="0" w:color="000000"/>
            </w:tcBorders>
          </w:tcPr>
          <w:p>
            <w:pPr>
              <w:pStyle w:val="Normal"/>
              <w:spacing w:lineRule="auto" w:line="360"/>
              <w:jc w:val="center"/>
              <w:rPr>
                <w:sz w:val="20"/>
              </w:rPr>
            </w:pPr>
            <w:r>
              <w:rPr>
                <w:sz w:val="20"/>
              </w:rPr>
              <w:t>Date:</w:t>
            </w:r>
          </w:p>
        </w:tc>
      </w:tr>
      <w:tr>
        <w:trPr/>
        <w:tc>
          <w:tcPr>
            <w:tcW w:w="3254" w:type="dxa"/>
            <w:tcBorders>
              <w:top w:val="single" w:sz="6" w:space="0" w:color="000000"/>
              <w:start w:val="single" w:sz="6" w:space="0" w:color="000000"/>
            </w:tcBorders>
          </w:tcPr>
          <w:p>
            <w:pPr>
              <w:pStyle w:val="Normal"/>
              <w:spacing w:lineRule="auto" w:line="360"/>
              <w:rPr>
                <w:sz w:val="20"/>
              </w:rPr>
            </w:pPr>
            <w:r>
              <w:rPr>
                <w:sz w:val="20"/>
              </w:rPr>
              <w:t>Legal:</w:t>
            </w:r>
          </w:p>
        </w:tc>
        <w:tc>
          <w:tcPr>
            <w:tcW w:w="6165" w:type="dxa"/>
            <w:tcBorders>
              <w:top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top w:val="single" w:sz="4" w:space="0" w:color="000000"/>
              <w:start w:val="single" w:sz="4" w:space="0" w:color="000000"/>
              <w:bottom w:val="single" w:sz="4" w:space="0" w:color="000000"/>
            </w:tcBorders>
          </w:tcPr>
          <w:p>
            <w:pPr>
              <w:pStyle w:val="Normal"/>
              <w:spacing w:lineRule="auto" w:line="360"/>
              <w:rPr>
                <w:sz w:val="20"/>
              </w:rPr>
            </w:pPr>
            <w:r>
              <w:rPr>
                <w:sz w:val="20"/>
              </w:rPr>
              <w:t>SFA Compliance</w:t>
            </w:r>
          </w:p>
        </w:tc>
        <w:tc>
          <w:tcPr>
            <w:tcW w:w="6165" w:type="dxa"/>
            <w:tcBorders>
              <w:top w:val="single" w:sz="4" w:space="0" w:color="000000"/>
              <w:bottom w:val="single" w:sz="4" w:space="0" w:color="000000"/>
              <w:end w:val="single" w:sz="4"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tcBorders>
          </w:tcPr>
          <w:p>
            <w:pPr>
              <w:pStyle w:val="Normal"/>
              <w:spacing w:lineRule="auto" w:line="360"/>
              <w:rPr>
                <w:sz w:val="20"/>
              </w:rPr>
            </w:pPr>
            <w:r>
              <w:rPr>
                <w:sz w:val="20"/>
              </w:rPr>
              <w:t>Tax:</w:t>
            </w:r>
          </w:p>
        </w:tc>
        <w:tc>
          <w:tcPr>
            <w:tcW w:w="6165" w:type="dxa"/>
            <w:tcBorders>
              <w:end w:val="single" w:sz="6" w:space="0" w:color="000000"/>
            </w:tcBorders>
          </w:tcPr>
          <w:p>
            <w:pPr>
              <w:pStyle w:val="Normal"/>
              <w:spacing w:lineRule="auto" w:line="360"/>
              <w:jc w:val="center"/>
              <w:rPr>
                <w:sz w:val="20"/>
              </w:rPr>
            </w:pPr>
            <w:r>
              <w:rPr>
                <w:sz w:val="20"/>
              </w:rPr>
              <w:t>Date:</w:t>
            </w:r>
          </w:p>
        </w:tc>
      </w:tr>
      <w:tr>
        <w:trPr/>
        <w:tc>
          <w:tcPr>
            <w:tcW w:w="3254" w:type="dxa"/>
            <w:tcBorders>
              <w:top w:val="single" w:sz="6" w:space="0" w:color="000000"/>
              <w:start w:val="single" w:sz="6" w:space="0" w:color="000000"/>
              <w:bottom w:val="single" w:sz="6" w:space="0" w:color="000000"/>
            </w:tcBorders>
          </w:tcPr>
          <w:p>
            <w:pPr>
              <w:pStyle w:val="Normal"/>
              <w:spacing w:lineRule="auto" w:line="360"/>
              <w:rPr>
                <w:sz w:val="20"/>
              </w:rPr>
            </w:pPr>
            <w:r>
              <w:rPr>
                <w:sz w:val="20"/>
              </w:rPr>
              <w:t>Financial Operations:</w:t>
            </w:r>
          </w:p>
        </w:tc>
        <w:tc>
          <w:tcPr>
            <w:tcW w:w="6165" w:type="dxa"/>
            <w:tcBorders>
              <w:top w:val="single" w:sz="6" w:space="0" w:color="000000"/>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top w:val="single" w:sz="6" w:space="0" w:color="000000"/>
              <w:start w:val="single" w:sz="6" w:space="0" w:color="000000"/>
              <w:bottom w:val="single" w:sz="6" w:space="0" w:color="000000"/>
            </w:tcBorders>
          </w:tcPr>
          <w:p>
            <w:pPr>
              <w:pStyle w:val="Normal"/>
              <w:spacing w:lineRule="auto" w:line="360"/>
              <w:rPr>
                <w:sz w:val="20"/>
              </w:rPr>
            </w:pPr>
            <w:r>
              <w:rPr>
                <w:sz w:val="20"/>
              </w:rPr>
              <w:t>Financial Operations  - US GAAP:</w:t>
            </w:r>
          </w:p>
        </w:tc>
        <w:tc>
          <w:tcPr>
            <w:tcW w:w="6165" w:type="dxa"/>
            <w:tcBorders>
              <w:top w:val="single" w:sz="6" w:space="0" w:color="000000"/>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tcBorders>
          </w:tcPr>
          <w:p>
            <w:pPr>
              <w:pStyle w:val="Normal"/>
              <w:spacing w:lineRule="auto" w:line="360"/>
              <w:rPr>
                <w:sz w:val="20"/>
              </w:rPr>
            </w:pPr>
            <w:r>
              <w:rPr>
                <w:sz w:val="20"/>
              </w:rPr>
              <w:t>Office of the Chairman:</w:t>
            </w:r>
          </w:p>
        </w:tc>
        <w:tc>
          <w:tcPr>
            <w:tcW w:w="6165" w:type="dxa"/>
            <w:tcBorders>
              <w:end w:val="single" w:sz="6" w:space="0" w:color="000000"/>
            </w:tcBorders>
          </w:tcPr>
          <w:p>
            <w:pPr>
              <w:pStyle w:val="Normal"/>
              <w:spacing w:lineRule="auto" w:line="360"/>
              <w:jc w:val="center"/>
              <w:rPr>
                <w:sz w:val="20"/>
              </w:rPr>
            </w:pPr>
            <w:r>
              <w:rPr>
                <w:sz w:val="20"/>
              </w:rPr>
              <w:t>Date:</w:t>
            </w:r>
          </w:p>
        </w:tc>
      </w:tr>
      <w:tr>
        <w:trPr/>
        <w:tc>
          <w:tcPr>
            <w:tcW w:w="3254" w:type="dxa"/>
            <w:tcBorders>
              <w:top w:val="single" w:sz="6" w:space="0" w:color="000000"/>
              <w:start w:val="single" w:sz="6" w:space="0" w:color="000000"/>
              <w:bottom w:val="single" w:sz="6" w:space="0" w:color="000000"/>
            </w:tcBorders>
          </w:tcPr>
          <w:p>
            <w:pPr>
              <w:pStyle w:val="Normal"/>
              <w:spacing w:lineRule="auto" w:line="360"/>
              <w:rPr>
                <w:sz w:val="20"/>
              </w:rPr>
            </w:pPr>
            <w:r>
              <w:rPr>
                <w:sz w:val="20"/>
              </w:rPr>
              <w:t>Enron Global Finance:</w:t>
            </w:r>
          </w:p>
        </w:tc>
        <w:tc>
          <w:tcPr>
            <w:tcW w:w="6165" w:type="dxa"/>
            <w:tcBorders>
              <w:top w:val="single" w:sz="6" w:space="0" w:color="000000"/>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top w:val="single" w:sz="6" w:space="0" w:color="000000"/>
              <w:start w:val="single" w:sz="6" w:space="0" w:color="000000"/>
              <w:bottom w:val="single" w:sz="6" w:space="0" w:color="000000"/>
            </w:tcBorders>
          </w:tcPr>
          <w:p>
            <w:pPr>
              <w:pStyle w:val="Normal"/>
              <w:spacing w:lineRule="auto" w:line="360"/>
              <w:rPr>
                <w:sz w:val="20"/>
              </w:rPr>
            </w:pPr>
            <w:r>
              <w:rPr>
                <w:sz w:val="20"/>
              </w:rPr>
              <w:t>Underwriting (RAC):</w:t>
            </w:r>
          </w:p>
        </w:tc>
        <w:tc>
          <w:tcPr>
            <w:tcW w:w="6165" w:type="dxa"/>
            <w:tcBorders>
              <w:top w:val="single" w:sz="6" w:space="0" w:color="000000"/>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top w:val="single" w:sz="6" w:space="0" w:color="000000"/>
              <w:start w:val="single" w:sz="6" w:space="0" w:color="000000"/>
              <w:bottom w:val="single" w:sz="6" w:space="0" w:color="000000"/>
            </w:tcBorders>
          </w:tcPr>
          <w:p>
            <w:pPr>
              <w:pStyle w:val="Normal"/>
              <w:spacing w:lineRule="auto" w:line="360"/>
              <w:rPr>
                <w:sz w:val="20"/>
              </w:rPr>
            </w:pPr>
            <w:r>
              <w:rPr>
                <w:sz w:val="20"/>
              </w:rPr>
              <w:t>Structuring:</w:t>
            </w:r>
          </w:p>
        </w:tc>
        <w:tc>
          <w:tcPr>
            <w:tcW w:w="6165" w:type="dxa"/>
            <w:tcBorders>
              <w:top w:val="single" w:sz="6" w:space="0" w:color="000000"/>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Human Resources:</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Risk Management:</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Engineering/Technical:</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Asset Management:</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Information Technology:</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Corporate Property Services (Admin)</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r>
        <w:trPr/>
        <w:tc>
          <w:tcPr>
            <w:tcW w:w="3254" w:type="dxa"/>
            <w:tcBorders>
              <w:start w:val="single" w:sz="6" w:space="0" w:color="000000"/>
              <w:bottom w:val="single" w:sz="6" w:space="0" w:color="000000"/>
            </w:tcBorders>
          </w:tcPr>
          <w:p>
            <w:pPr>
              <w:pStyle w:val="Normal"/>
              <w:spacing w:lineRule="auto" w:line="360"/>
              <w:rPr>
                <w:sz w:val="20"/>
              </w:rPr>
            </w:pPr>
            <w:r>
              <w:rPr>
                <w:sz w:val="20"/>
              </w:rPr>
              <w:t>Insurance</w:t>
            </w:r>
          </w:p>
        </w:tc>
        <w:tc>
          <w:tcPr>
            <w:tcW w:w="6165" w:type="dxa"/>
            <w:tcBorders>
              <w:bottom w:val="single" w:sz="6" w:space="0" w:color="000000"/>
              <w:end w:val="single" w:sz="6" w:space="0" w:color="000000"/>
            </w:tcBorders>
          </w:tcPr>
          <w:p>
            <w:pPr>
              <w:pStyle w:val="Normal"/>
              <w:spacing w:lineRule="auto" w:line="360"/>
              <w:jc w:val="center"/>
              <w:rPr>
                <w:sz w:val="20"/>
              </w:rPr>
            </w:pPr>
            <w:r>
              <w:rPr>
                <w:sz w:val="20"/>
              </w:rPr>
              <w:t>Date:</w:t>
            </w:r>
          </w:p>
        </w:tc>
      </w:tr>
    </w:tbl>
    <w:p>
      <w:pPr>
        <w:pStyle w:val="Normal"/>
        <w:spacing w:lineRule="auto" w:line="360"/>
        <w:rPr>
          <w:sz w:val="18"/>
        </w:rPr>
      </w:pPr>
      <w:r>
        <w:rPr>
          <w:sz w:val="18"/>
        </w:rPr>
        <w:t>Instructions:</w:t>
      </w:r>
    </w:p>
    <w:p>
      <w:pPr>
        <w:pStyle w:val="Normal"/>
        <w:spacing w:before="0" w:after="240"/>
        <w:ind w:hanging="720" w:start="720" w:end="0"/>
        <w:jc w:val="both"/>
        <w:rPr>
          <w:sz w:val="18"/>
        </w:rPr>
      </w:pPr>
      <w:r>
        <w:rPr>
          <w:sz w:val="18"/>
        </w:rPr>
        <w:t>1.</w:t>
        <w:tab/>
        <w:t>All contracts/transactions should be approved by the Deal Maker, Credit Risk Management, Legal, Tax and Financial Operations (Accounting).</w:t>
      </w:r>
    </w:p>
    <w:p>
      <w:pPr>
        <w:pStyle w:val="Normal"/>
        <w:spacing w:before="0" w:after="240"/>
        <w:ind w:hanging="720" w:start="720" w:end="0"/>
        <w:jc w:val="both"/>
        <w:rPr>
          <w:sz w:val="18"/>
        </w:rPr>
      </w:pPr>
      <w:r>
        <w:rPr>
          <w:sz w:val="18"/>
        </w:rPr>
        <w:t>2.</w:t>
        <w:tab/>
        <w:t>If a transaction involves an Enron commitment of £3 million or more or if a transaction is a material acquisition/disposal, then (i) the CACS form should be signed by a member of the Office of the Chairman and (ii) a short (1-3 page) description of the transaction should be attached to the CACS form by the deal maker, setting out the economics of the transaction, the rationale for the transaction and any risks associated with the transaction.</w:t>
      </w:r>
    </w:p>
    <w:p>
      <w:pPr>
        <w:pStyle w:val="Normal"/>
        <w:spacing w:before="0" w:after="240"/>
        <w:ind w:hanging="720" w:start="720" w:end="0"/>
        <w:jc w:val="both"/>
        <w:rPr>
          <w:sz w:val="18"/>
        </w:rPr>
      </w:pPr>
      <w:r>
        <w:rPr>
          <w:sz w:val="18"/>
        </w:rPr>
        <w:t>3.</w:t>
        <w:tab/>
        <w:t>Underwriting and Enron Global Finance must sign the CACS form if the contract/transaction requires the commitment of Enron capital (including loans, equity contributions, acquisitions, commodity prepayments or Enron guarantees).  Neither Underwriting nor Enron Global Finance approval is required for trading transactions in the ordinary course of business, even if an Enron guarantee is involved.</w:t>
      </w:r>
    </w:p>
    <w:p>
      <w:pPr>
        <w:pStyle w:val="BodyTextIndent"/>
        <w:rPr/>
      </w:pPr>
      <w:r>
        <w:rPr/>
        <w:t>4.</w:t>
        <w:tab/>
        <w:t>Structuring and Risk Management are only required to approve those transactions that relate to Enron’s physical or financial commodity trading business, including transactions for the storage or transportation of a commodity and any other transaction that would affect the “books” maintained by Risk Management.</w:t>
      </w:r>
    </w:p>
    <w:p>
      <w:pPr>
        <w:pStyle w:val="Normal"/>
        <w:numPr>
          <w:ilvl w:val="0"/>
          <w:numId w:val="2"/>
        </w:numPr>
        <w:spacing w:before="0" w:after="240"/>
        <w:jc w:val="both"/>
        <w:rPr>
          <w:sz w:val="18"/>
        </w:rPr>
      </w:pPr>
      <w:r>
        <w:rPr>
          <w:sz w:val="18"/>
        </w:rPr>
        <w:t>The attorney working on the contract/transaction will determine, on a case by case basis, whether the approval of Engineering/Technical, Asset Management, Human Resources, US GAAP, SFA Compliance, Information Technology, Insurance and/or Admin is required.</w:t>
      </w:r>
    </w:p>
    <w:p>
      <w:pPr>
        <w:pStyle w:val="Normal"/>
        <w:spacing w:before="0" w:after="240"/>
        <w:ind w:hanging="720" w:start="720" w:end="0"/>
        <w:jc w:val="both"/>
        <w:rPr>
          <w:sz w:val="18"/>
        </w:rPr>
      </w:pPr>
      <w:r>
        <w:rPr>
          <w:sz w:val="18"/>
        </w:rPr>
        <w:t>6.</w:t>
        <w:tab/>
        <w:t>The CACS form should normally be signed by the head of the applicable department.  Other arrangements, however, may be made with the approval of the department head.</w:t>
      </w:r>
    </w:p>
    <w:p>
      <w:pPr>
        <w:pStyle w:val="Normal"/>
        <w:numPr>
          <w:ilvl w:val="0"/>
          <w:numId w:val="1"/>
        </w:numPr>
        <w:spacing w:before="0" w:after="240"/>
        <w:jc w:val="both"/>
        <w:rPr>
          <w:sz w:val="18"/>
        </w:rPr>
      </w:pPr>
      <w:r>
        <w:rPr>
          <w:sz w:val="18"/>
        </w:rPr>
        <w:t>The deal maker should keep a copy of the signed CACS form in his or her file.  The deal maker should send the original signed CACS form and the original signed copy of the contract(s) to the Enron Europe lawyer who is handling the transaction.</w:t>
      </w:r>
    </w:p>
    <w:p>
      <w:pPr>
        <w:pStyle w:val="Normal"/>
        <w:numPr>
          <w:ilvl w:val="0"/>
          <w:numId w:val="1"/>
        </w:numPr>
        <w:spacing w:before="0" w:after="240"/>
        <w:jc w:val="both"/>
        <w:rPr>
          <w:sz w:val="18"/>
        </w:rPr>
      </w:pPr>
      <w:r>
        <w:rPr>
          <w:sz w:val="18"/>
        </w:rPr>
        <w:t>Mark Pickering should sign off on any acquisition whether of assets or shares in respect of Information Technology issues.</w:t>
      </w:r>
    </w:p>
    <w:sectPr>
      <w:type w:val="nextPage"/>
      <w:pgSz w:w="11906" w:h="16838"/>
      <w:pgMar w:left="1009" w:right="1009" w:gutter="0" w:header="0" w:top="170" w:footer="0" w:bottom="22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w:lvlJc w:val="start"/>
      <w:pPr>
        <w:tabs>
          <w:tab w:val="num" w:pos="720"/>
        </w:tabs>
        <w:ind w:start="720" w:hanging="720"/>
      </w:pPr>
      <w:rPr/>
    </w:lvl>
  </w:abstractNum>
  <w:abstractNum w:abstractNumId="2">
    <w:lvl w:ilvl="0">
      <w:start w:val="5"/>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720"/>
        <w:tab w:val="left" w:pos="7380" w:leader="none"/>
      </w:tabs>
      <w:jc w:val="center"/>
    </w:pPr>
    <w:rPr>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240"/>
      <w:ind w:hanging="720" w:start="720" w:end="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2000-10-23T17:32:00Z</dcterms:created>
  <dc:creator>Enron Europe</dc:creator>
  <dc:description/>
  <dc:language>en-CA</dc:language>
  <cp:lastModifiedBy>MThomas</cp:lastModifiedBy>
  <cp:lastPrinted>2000-08-17T11:15:00Z</cp:lastPrinted>
  <dcterms:modified xsi:type="dcterms:W3CDTF">2000-10-23T17:32:00Z</dcterms:modified>
  <cp:revision>2</cp:revision>
  <dc:subject/>
  <dc:title>Contract Authorisation Control Sheet</dc:title>
</cp:coreProperties>
</file>