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object w:dxaOrig="0" w:dyaOrig="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8pt;margin-top:-1.15pt;width:104.6pt;height:103.8pt;mso-wrap-distance-left:9.05pt;mso-wrap-distance-right:9.05pt;mso-position-horizontal-relative:text;mso-position-vertical-relative:text" filled="f" o:ole="">
            <v:imagedata r:id="rId3" o:title=""/>
            <w10:wrap type="topAndBottom"/>
          </v:shape>
          <o:OLEObject Type="Embed" ProgID="" ShapeID="ole_rId2" DrawAspect="Content" ObjectID="_1938034336" r:id="rId2"/>
        </w:object>
        <w:t>PE-DG-???/00</w:t>
      </w:r>
      <w:r>
        <mc:AlternateContent>
          <mc:Choice Requires="wps">
            <w:drawing>
              <wp:anchor behindDoc="0" distT="0" distB="0" distL="114935" distR="114935" simplePos="0" locked="0" layoutInCell="1" allowOverlap="1" relativeHeight="3">
                <wp:simplePos x="0" y="0"/>
                <wp:positionH relativeFrom="column">
                  <wp:posOffset>3156585</wp:posOffset>
                </wp:positionH>
                <wp:positionV relativeFrom="paragraph">
                  <wp:posOffset>99695</wp:posOffset>
                </wp:positionV>
                <wp:extent cx="2560320" cy="914400"/>
                <wp:effectExtent l="0" t="0" r="0" b="0"/>
                <wp:wrapNone/>
                <wp:docPr id="1" name="Frame1"/>
                <a:graphic xmlns:a="http://schemas.openxmlformats.org/drawingml/2006/main">
                  <a:graphicData uri="http://schemas.microsoft.com/office/word/2010/wordprocessingShape">
                    <wps:wsp>
                      <wps:cNvSpPr txBox="1"/>
                      <wps:spPr>
                        <a:xfrm>
                          <a:off x="0" y="0"/>
                          <a:ext cx="2560320" cy="914400"/>
                        </a:xfrm>
                        <a:prstGeom prst="rect"/>
                        <a:solidFill>
                          <a:srgbClr val="FFFFFF"/>
                        </a:solidFill>
                      </wps:spPr>
                      <wps:txbx>
                        <w:txbxContent>
                          <w:p>
                            <w:pPr>
                              <w:pStyle w:val="Normal"/>
                              <w:rPr>
                                <w:lang w:val="pt-BR"/>
                              </w:rPr>
                            </w:pPr>
                            <w:r>
                              <w:rPr>
                                <w:lang w:val="pt-BR"/>
                              </w:rPr>
                              <w:t>EMPRESA PRODUTORA DE ENERGIA</w:t>
                            </w:r>
                          </w:p>
                          <w:p>
                            <w:pPr>
                              <w:pStyle w:val="Normal"/>
                              <w:rPr>
                                <w:lang w:val="pt-BR"/>
                              </w:rPr>
                            </w:pPr>
                            <w:r>
                              <w:rPr>
                                <w:lang w:val="pt-BR"/>
                              </w:rPr>
                              <w:t>RODOVIA DOS IMIGRANTES, 3770</w:t>
                            </w:r>
                          </w:p>
                          <w:p>
                            <w:pPr>
                              <w:pStyle w:val="Normal"/>
                              <w:rPr>
                                <w:lang w:val="pt-BR"/>
                              </w:rPr>
                            </w:pPr>
                            <w:r>
                              <w:rPr>
                                <w:lang w:val="pt-BR"/>
                              </w:rPr>
                              <w:t>NOVO DISTRITO INDUSTRIAL</w:t>
                            </w:r>
                          </w:p>
                          <w:p>
                            <w:pPr>
                              <w:pStyle w:val="Normal"/>
                              <w:rPr>
                                <w:lang w:val="pt-BR"/>
                              </w:rPr>
                            </w:pPr>
                            <w:r>
                              <w:rPr>
                                <w:lang w:val="pt-BR"/>
                              </w:rPr>
                              <w:t>CUIABÁ - MT</w:t>
                            </w:r>
                          </w:p>
                          <w:p>
                            <w:pPr>
                              <w:pStyle w:val="Normal"/>
                              <w:rPr>
                                <w:lang w:val="pt-BR"/>
                              </w:rPr>
                            </w:pPr>
                            <w:r>
                              <w:rPr>
                                <w:lang w:val="pt-BR"/>
                              </w:rPr>
                              <w:t>BRASIL            CEP: 78098-840</w:t>
                            </w:r>
                          </w:p>
                        </w:txbxContent>
                      </wps:txbx>
                      <wps:bodyPr anchor="t" lIns="92075" tIns="46355" rIns="92075" bIns="46355">
                        <a:noAutofit/>
                      </wps:bodyPr>
                    </wps:wsp>
                  </a:graphicData>
                </a:graphic>
              </wp:anchor>
            </w:drawing>
          </mc:Choice>
          <mc:Fallback>
            <w:pict>
              <v:rect fillcolor="#FFFFFF" style="position:absolute;rotation:-0;width:201.6pt;height:72pt;mso-wrap-distance-left:9.05pt;mso-wrap-distance-right:9.05pt;mso-wrap-distance-top:0pt;mso-wrap-distance-bottom:0pt;margin-top:7.85pt;mso-position-vertical-relative:text;margin-left:248.55pt;mso-position-horizontal-relative:text">
                <v:textbox inset="0.100694444444444in,0.0506944444444444in,0.100694444444444in,0.0506944444444444in">
                  <w:txbxContent>
                    <w:p>
                      <w:pPr>
                        <w:pStyle w:val="Normal"/>
                        <w:rPr>
                          <w:lang w:val="pt-BR"/>
                        </w:rPr>
                      </w:pPr>
                      <w:r>
                        <w:rPr>
                          <w:lang w:val="pt-BR"/>
                        </w:rPr>
                        <w:t>EMPRESA PRODUTORA DE ENERGIA</w:t>
                      </w:r>
                    </w:p>
                    <w:p>
                      <w:pPr>
                        <w:pStyle w:val="Normal"/>
                        <w:rPr>
                          <w:lang w:val="pt-BR"/>
                        </w:rPr>
                      </w:pPr>
                      <w:r>
                        <w:rPr>
                          <w:lang w:val="pt-BR"/>
                        </w:rPr>
                        <w:t>RODOVIA DOS IMIGRANTES, 3770</w:t>
                      </w:r>
                    </w:p>
                    <w:p>
                      <w:pPr>
                        <w:pStyle w:val="Normal"/>
                        <w:rPr>
                          <w:lang w:val="pt-BR"/>
                        </w:rPr>
                      </w:pPr>
                      <w:r>
                        <w:rPr>
                          <w:lang w:val="pt-BR"/>
                        </w:rPr>
                        <w:t>NOVO DISTRITO INDUSTRIAL</w:t>
                      </w:r>
                    </w:p>
                    <w:p>
                      <w:pPr>
                        <w:pStyle w:val="Normal"/>
                        <w:rPr>
                          <w:lang w:val="pt-BR"/>
                        </w:rPr>
                      </w:pPr>
                      <w:r>
                        <w:rPr>
                          <w:lang w:val="pt-BR"/>
                        </w:rPr>
                        <w:t>CUIABÁ - MT</w:t>
                      </w:r>
                    </w:p>
                    <w:p>
                      <w:pPr>
                        <w:pStyle w:val="Normal"/>
                        <w:rPr>
                          <w:lang w:val="pt-BR"/>
                        </w:rPr>
                      </w:pPr>
                      <w:r>
                        <w:rPr>
                          <w:lang w:val="pt-BR"/>
                        </w:rPr>
                        <w:t>BRASIL            CEP: 78098-840</w:t>
                      </w:r>
                    </w:p>
                  </w:txbxContent>
                </v:textbox>
                <w10:wrap type="none"/>
              </v:rect>
            </w:pict>
          </mc:Fallback>
        </mc:AlternateContent>
      </w:r>
    </w:p>
    <w:p>
      <w:pPr>
        <w:pStyle w:val="Heading2"/>
        <w:ind w:hanging="0" w:start="0"/>
        <w:rPr>
          <w:rFonts w:ascii="Arial" w:hAnsi="Arial" w:cs="Arial"/>
          <w:sz w:val="22"/>
        </w:rPr>
      </w:pPr>
      <w:r>
        <w:rPr>
          <w:rFonts w:cs="Arial"/>
          <w:sz w:val="22"/>
        </w:rPr>
      </w:r>
    </w:p>
    <w:p>
      <w:pPr>
        <w:pStyle w:val="Heading2"/>
        <w:ind w:hanging="0" w:start="0"/>
        <w:rPr>
          <w:sz w:val="22"/>
        </w:rPr>
      </w:pPr>
      <w:r>
        <w:rPr>
          <w:sz w:val="22"/>
        </w:rPr>
        <w:t>13 December, 2000</w:t>
      </w:r>
    </w:p>
    <w:p>
      <w:pPr>
        <w:pStyle w:val="Normal"/>
        <w:rPr>
          <w:rFonts w:ascii="Arial" w:hAnsi="Arial" w:cs="Arial"/>
          <w:sz w:val="22"/>
        </w:rPr>
      </w:pPr>
      <w:r>
        <w:rPr>
          <w:rFonts w:cs="Arial" w:ascii="Arial" w:hAnsi="Arial"/>
          <w:sz w:val="22"/>
        </w:rPr>
      </w:r>
    </w:p>
    <w:p>
      <w:pPr>
        <w:pStyle w:val="BodyText"/>
        <w:rPr>
          <w:sz w:val="22"/>
        </w:rPr>
      </w:pPr>
      <w:r>
        <w:rPr>
          <w:sz w:val="22"/>
        </w:rPr>
        <w:t>Overseas Private Investment Corporation</w:t>
      </w:r>
    </w:p>
    <w:p>
      <w:pPr>
        <w:pStyle w:val="BodyText"/>
        <w:rPr>
          <w:sz w:val="22"/>
        </w:rPr>
      </w:pPr>
      <w:r>
        <w:rPr>
          <w:sz w:val="22"/>
        </w:rPr>
        <w:t>1100 New York Avenue, N.W.</w:t>
      </w:r>
    </w:p>
    <w:p>
      <w:pPr>
        <w:pStyle w:val="BodyText"/>
        <w:rPr>
          <w:sz w:val="22"/>
        </w:rPr>
      </w:pPr>
      <w:r>
        <w:rPr>
          <w:sz w:val="22"/>
        </w:rPr>
        <w:t>Washington, D.C.  20527</w:t>
      </w:r>
    </w:p>
    <w:p>
      <w:pPr>
        <w:pStyle w:val="BodyText"/>
        <w:rPr>
          <w:sz w:val="22"/>
        </w:rPr>
      </w:pPr>
      <w:r>
        <w:rPr>
          <w:sz w:val="22"/>
        </w:rPr>
        <w:t>Attention:  Vice President, Finance Department</w:t>
      </w:r>
    </w:p>
    <w:p>
      <w:pPr>
        <w:pStyle w:val="BodyText"/>
        <w:rPr>
          <w:sz w:val="22"/>
        </w:rPr>
      </w:pPr>
      <w:r>
        <w:rPr>
          <w:sz w:val="22"/>
        </w:rPr>
        <w:t>Re:  Cuiabá 480 MW Power Project</w:t>
      </w:r>
    </w:p>
    <w:p>
      <w:pPr>
        <w:pStyle w:val="BodyText"/>
        <w:rPr>
          <w:sz w:val="22"/>
        </w:rPr>
      </w:pPr>
      <w:r>
        <w:rPr>
          <w:sz w:val="22"/>
        </w:rPr>
      </w:r>
    </w:p>
    <w:p>
      <w:pPr>
        <w:pStyle w:val="BodyText"/>
        <w:rPr>
          <w:sz w:val="22"/>
        </w:rPr>
      </w:pPr>
      <w:r>
        <w:rPr>
          <w:sz w:val="22"/>
        </w:rPr>
        <w:t>Kreditanstalt für Wiederaufbau</w:t>
      </w:r>
    </w:p>
    <w:p>
      <w:pPr>
        <w:pStyle w:val="BodyText"/>
        <w:rPr>
          <w:sz w:val="22"/>
        </w:rPr>
      </w:pPr>
      <w:r>
        <w:rPr>
          <w:sz w:val="22"/>
        </w:rPr>
        <w:t>Palmengartenstrasse 5-9</w:t>
      </w:r>
    </w:p>
    <w:p>
      <w:pPr>
        <w:pStyle w:val="BodyText"/>
        <w:rPr>
          <w:sz w:val="22"/>
        </w:rPr>
      </w:pPr>
      <w:r>
        <w:rPr>
          <w:sz w:val="22"/>
        </w:rPr>
        <w:t>60325 Frankfurt am Main</w:t>
      </w:r>
    </w:p>
    <w:p>
      <w:pPr>
        <w:pStyle w:val="BodyText"/>
        <w:rPr>
          <w:sz w:val="22"/>
        </w:rPr>
      </w:pPr>
      <w:r>
        <w:rPr>
          <w:sz w:val="22"/>
        </w:rPr>
        <w:t>Germany</w:t>
      </w:r>
    </w:p>
    <w:p>
      <w:pPr>
        <w:pStyle w:val="BodyText"/>
        <w:rPr>
          <w:sz w:val="22"/>
        </w:rPr>
      </w:pPr>
      <w:r>
        <w:rPr>
          <w:sz w:val="22"/>
        </w:rPr>
        <w:t>Attention:  Department KII b1</w:t>
      </w:r>
    </w:p>
    <w:p>
      <w:pPr>
        <w:pStyle w:val="BodyText"/>
        <w:rPr>
          <w:sz w:val="22"/>
        </w:rPr>
      </w:pPr>
      <w:r>
        <w:rPr>
          <w:sz w:val="22"/>
        </w:rPr>
        <w:t>Telecopy:  4969 7431 3344</w:t>
      </w:r>
    </w:p>
    <w:p>
      <w:pPr>
        <w:pStyle w:val="BodyText"/>
        <w:rPr>
          <w:sz w:val="22"/>
        </w:rPr>
      </w:pPr>
      <w:r>
        <w:rPr>
          <w:sz w:val="22"/>
        </w:rPr>
      </w:r>
    </w:p>
    <w:p>
      <w:pPr>
        <w:pStyle w:val="BodyText"/>
        <w:rPr>
          <w:sz w:val="22"/>
        </w:rPr>
      </w:pPr>
      <w:r>
        <w:rPr>
          <w:sz w:val="22"/>
        </w:rPr>
      </w:r>
    </w:p>
    <w:p>
      <w:pPr>
        <w:pStyle w:val="BodyText"/>
        <w:rPr>
          <w:sz w:val="22"/>
        </w:rPr>
      </w:pPr>
      <w:r>
        <w:rPr>
          <w:sz w:val="22"/>
        </w:rPr>
        <w:t>Re:</w:t>
        <w:tab/>
        <w:t>Cuiabá 480 MW Power Project</w:t>
      </w:r>
    </w:p>
    <w:p>
      <w:pPr>
        <w:pStyle w:val="BodyText"/>
        <w:rPr>
          <w:sz w:val="22"/>
        </w:rPr>
      </w:pPr>
      <w:r>
        <w:rPr>
          <w:sz w:val="22"/>
        </w:rPr>
        <w:tab/>
        <w:t>By-pass stack damper position</w:t>
      </w:r>
    </w:p>
    <w:p>
      <w:pPr>
        <w:pStyle w:val="BodyText"/>
        <w:rPr>
          <w:sz w:val="22"/>
        </w:rPr>
      </w:pPr>
      <w:r>
        <w:rPr>
          <w:sz w:val="22"/>
        </w:rPr>
      </w:r>
    </w:p>
    <w:p>
      <w:pPr>
        <w:pStyle w:val="BodyText"/>
        <w:rPr>
          <w:sz w:val="22"/>
        </w:rPr>
      </w:pPr>
      <w:r>
        <w:rPr>
          <w:sz w:val="22"/>
        </w:rPr>
      </w:r>
    </w:p>
    <w:p>
      <w:pPr>
        <w:pStyle w:val="BodyText"/>
        <w:rPr>
          <w:sz w:val="22"/>
        </w:rPr>
      </w:pPr>
      <w:r>
        <w:rPr>
          <w:sz w:val="22"/>
        </w:rPr>
        <w:t>Ladies and Gentlemen:</w:t>
      </w:r>
    </w:p>
    <w:p>
      <w:pPr>
        <w:pStyle w:val="BodyTextIndent"/>
        <w:ind w:hanging="0" w:start="0" w:end="0"/>
        <w:jc w:val="both"/>
        <w:rPr>
          <w:sz w:val="22"/>
        </w:rPr>
      </w:pPr>
      <w:r>
        <w:rPr>
          <w:sz w:val="22"/>
        </w:rPr>
      </w:r>
    </w:p>
    <w:p>
      <w:pPr>
        <w:pStyle w:val="Normal"/>
        <w:spacing w:lineRule="atLeast" w:line="240"/>
        <w:ind w:firstLine="720" w:end="0"/>
        <w:jc w:val="both"/>
        <w:rPr>
          <w:rFonts w:ascii="Arial" w:hAnsi="Arial" w:cs="Arial"/>
          <w:color w:val="000000"/>
          <w:sz w:val="22"/>
          <w:lang w:eastAsia="en-US"/>
        </w:rPr>
      </w:pPr>
      <w:r>
        <w:rPr>
          <w:rFonts w:cs="Arial" w:ascii="Arial" w:hAnsi="Arial"/>
          <w:color w:val="000000"/>
          <w:sz w:val="22"/>
          <w:lang w:eastAsia="en-US"/>
        </w:rPr>
        <w:t>Given that the Cuiabá power plant is being commissioned in combined cycle on diesel fuel, the dampers in the by-pass stacks of Units #11 and #12 have been converted to the combined cycle position and seal-welded into place.</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r>
    </w:p>
    <w:p>
      <w:pPr>
        <w:pStyle w:val="Normal"/>
        <w:spacing w:lineRule="atLeast" w:line="240"/>
        <w:ind w:firstLine="720" w:end="0"/>
        <w:jc w:val="both"/>
        <w:rPr>
          <w:rFonts w:ascii="Arial" w:hAnsi="Arial" w:cs="Arial"/>
          <w:color w:val="000000"/>
          <w:sz w:val="22"/>
          <w:lang w:eastAsia="en-US"/>
        </w:rPr>
      </w:pPr>
      <w:r>
        <w:rPr>
          <w:rFonts w:cs="Arial" w:ascii="Arial" w:hAnsi="Arial"/>
          <w:color w:val="000000"/>
          <w:sz w:val="22"/>
          <w:lang w:eastAsia="en-US"/>
        </w:rPr>
        <w:t>The Amended &amp; Restated EPC Contract still contains a provision that Phase II performance be demonstrated by two units operating in simple cycle on gas.  However, it is not desirable to re-convert these stack dampers to the simple cycle position once gas is available.  Adequate performance information can be obtained by operating the units in combined cycle configuration with 100% steam by-pass to the condenser and making the appropriate performance corrections for the resulting increase in back pressure experienced by the combustion turbine unit.</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r>
    </w:p>
    <w:p>
      <w:pPr>
        <w:pStyle w:val="Normal"/>
        <w:spacing w:lineRule="atLeast" w:line="240"/>
        <w:ind w:firstLine="720" w:end="0"/>
        <w:jc w:val="both"/>
        <w:rPr>
          <w:rFonts w:ascii="Arial" w:hAnsi="Arial" w:cs="Arial"/>
          <w:color w:val="000000"/>
          <w:sz w:val="22"/>
          <w:lang w:eastAsia="en-US"/>
        </w:rPr>
      </w:pPr>
      <w:r>
        <w:rPr>
          <w:rFonts w:cs="Arial" w:ascii="Arial" w:hAnsi="Arial"/>
          <w:color w:val="000000"/>
          <w:sz w:val="22"/>
          <w:lang w:eastAsia="en-US"/>
        </w:rPr>
        <w:t xml:space="preserve">As a consequence of combined cycle commissioning on diesel fuel, EPE no longer requires Phase II simple cycle testing on natural gas.  Once gas is available, a modified test will be conducted to a mutually agreed procedure between SCC and EPE based on operating the gas turbines in their combined cycle configuration with 100% of the steam being by-passed to the condenser.  This test will be used, with appropriate corrections, to estimate gas turbine simple cycle performance.  However at all times the by-pass stack damper will remain in it’s combined cycle configuration. </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r>
    </w:p>
    <w:p>
      <w:pPr>
        <w:pStyle w:val="BodyText2"/>
        <w:ind w:firstLine="720" w:end="0"/>
        <w:rPr/>
      </w:pPr>
      <w:r>
        <w:rPr/>
        <w:t>As a result of converting the Facility to combined cycle mode for commissioning on diesel fuel there will no longer be a period of operation of the Facility in simple cycle on natural gas, consequently no Phase II performance LDs for natural gas will apply.</w:t>
      </w:r>
    </w:p>
    <w:p>
      <w:pPr>
        <w:pStyle w:val="Normal"/>
        <w:spacing w:lineRule="atLeast" w:line="240"/>
        <w:jc w:val="both"/>
        <w:rPr>
          <w:rFonts w:ascii="Arial" w:hAnsi="Arial" w:cs="Arial"/>
          <w:color w:val="000000"/>
          <w:sz w:val="22"/>
          <w:lang w:eastAsia="en-US"/>
        </w:rPr>
      </w:pPr>
      <w:r>
        <w:rPr>
          <w:rFonts w:cs="Arial" w:ascii="Arial" w:hAnsi="Arial"/>
          <w:color w:val="000000"/>
          <w:sz w:val="22"/>
          <w:lang w:eastAsia="en-US"/>
        </w:rPr>
      </w:r>
    </w:p>
    <w:p>
      <w:pPr>
        <w:pStyle w:val="BodyTextIndent"/>
        <w:ind w:firstLine="720" w:start="0" w:end="0"/>
        <w:jc w:val="both"/>
        <w:rPr>
          <w:sz w:val="22"/>
        </w:rPr>
      </w:pPr>
      <w:r>
        <w:rPr>
          <w:color w:val="000000"/>
          <w:sz w:val="22"/>
          <w:lang w:eastAsia="en-US"/>
        </w:rPr>
        <w:t>As the above constitutes a change to the Performance Tests under the EPC Contract (Section 8.12(b)(ii)(D) of the Common Terms Agreement) Owners are hereby requesting to obtain the Lenders' agreement to the position. Based on discussions with the Lenders' engineer, Stone and Webster do not see a problem with the proposal.</w:t>
      </w:r>
    </w:p>
    <w:p>
      <w:pPr>
        <w:pStyle w:val="BodyTextIndent"/>
        <w:ind w:hanging="0" w:start="0" w:end="0"/>
        <w:jc w:val="both"/>
        <w:rPr>
          <w:sz w:val="22"/>
        </w:rPr>
      </w:pPr>
      <w:r>
        <w:rPr>
          <w:sz w:val="22"/>
        </w:rPr>
      </w:r>
    </w:p>
    <w:p>
      <w:pPr>
        <w:pStyle w:val="BodyTextIndent"/>
        <w:ind w:hanging="0" w:start="0" w:end="0"/>
        <w:jc w:val="both"/>
        <w:rPr>
          <w:sz w:val="22"/>
        </w:rPr>
      </w:pPr>
      <w:r>
        <w:rPr>
          <w:sz w:val="22"/>
        </w:rPr>
      </w:r>
    </w:p>
    <w:p>
      <w:pPr>
        <w:pStyle w:val="BodyTextIndent"/>
        <w:ind w:hanging="0" w:start="0" w:end="0"/>
        <w:rPr>
          <w:sz w:val="22"/>
        </w:rPr>
      </w:pPr>
      <w:r>
        <w:rPr>
          <w:sz w:val="22"/>
        </w:rPr>
      </w:r>
    </w:p>
    <w:p>
      <w:pPr>
        <w:pStyle w:val="Normal"/>
        <w:jc w:val="center"/>
        <w:rPr>
          <w:rFonts w:ascii="Arial" w:hAnsi="Arial" w:cs="Arial"/>
          <w:sz w:val="22"/>
        </w:rPr>
      </w:pPr>
      <w:r>
        <w:rPr>
          <w:rFonts w:cs="Arial" w:ascii="Arial" w:hAnsi="Arial"/>
          <w:sz w:val="22"/>
        </w:rPr>
        <w:t>Sincerely,</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A. Laine Powell</w:t>
      </w:r>
    </w:p>
    <w:p>
      <w:pPr>
        <w:pStyle w:val="Normal"/>
        <w:jc w:val="center"/>
        <w:rPr>
          <w:rFonts w:ascii="Arial" w:hAnsi="Arial" w:cs="Arial"/>
          <w:sz w:val="22"/>
        </w:rPr>
      </w:pPr>
      <w:r>
        <w:rPr>
          <w:rFonts w:cs="Arial" w:ascii="Arial" w:hAnsi="Arial"/>
          <w:sz w:val="22"/>
        </w:rPr>
        <w:t>Vice President and General Manager</w:t>
      </w:r>
    </w:p>
    <w:p>
      <w:pPr>
        <w:pStyle w:val="Normal"/>
        <w:rPr>
          <w:rFonts w:ascii="Arial" w:hAnsi="Arial" w:cs="Arial"/>
          <w:sz w:val="22"/>
        </w:rPr>
      </w:pPr>
      <w:r>
        <w:rPr>
          <w:rFonts w:cs="Arial" w:ascii="Arial" w:hAnsi="Arial"/>
          <w:sz w:val="22"/>
        </w:rPr>
      </w:r>
    </w:p>
    <w:p>
      <w:pPr>
        <w:pStyle w:val="BodyTextIndent"/>
        <w:ind w:hanging="0" w:start="0" w:end="0"/>
        <w:rPr>
          <w:rFonts w:ascii="Arial" w:hAnsi="Arial" w:cs="Arial"/>
          <w:sz w:val="22"/>
          <w:lang w:val="pt-PT"/>
        </w:rPr>
      </w:pPr>
      <w:r>
        <w:rPr>
          <w:rFonts w:cs="Arial"/>
          <w:sz w:val="22"/>
          <w:lang w:val="pt-PT"/>
        </w:rPr>
      </w:r>
    </w:p>
    <w:p>
      <w:pPr>
        <w:pStyle w:val="Normal"/>
        <w:jc w:val="both"/>
        <w:rPr>
          <w:rFonts w:ascii="Arial" w:hAnsi="Arial" w:cs="Arial"/>
          <w:sz w:val="22"/>
        </w:rPr>
      </w:pPr>
      <w:r>
        <w:rPr>
          <w:rFonts w:cs="Arial" w:ascii="Arial" w:hAnsi="Arial"/>
          <w:sz w:val="22"/>
        </w:rPr>
        <w:tab/>
      </w:r>
    </w:p>
    <w:sectPr>
      <w:type w:val="nextPage"/>
      <w:pgSz w:w="12240" w:h="15840"/>
      <w:pgMar w:left="1701" w:right="1701" w:gutter="0" w:header="0" w:top="1417"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u w:val="single"/>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sz w:val="18"/>
    </w:rPr>
  </w:style>
  <w:style w:type="character" w:styleId="WW8Num2z0">
    <w:name w:val="WW8Num2z0"/>
    <w:qFormat/>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sz w:val="18"/>
    </w:rPr>
  </w:style>
  <w:style w:type="character" w:styleId="WW8Num7z0">
    <w:name w:val="WW8Num7z0"/>
    <w:qFormat/>
    <w:rPr/>
  </w:style>
  <w:style w:type="character" w:styleId="WW8Num8z0">
    <w:name w:val="WW8Num8z0"/>
    <w:qFormat/>
    <w:rPr>
      <w:rFonts w:ascii="Symbol" w:hAnsi="Symbol" w:cs="Symbol"/>
      <w:sz w:val="18"/>
    </w:rPr>
  </w:style>
  <w:style w:type="character" w:styleId="WW8Num9z0">
    <w:name w:val="WW8Num9z0"/>
    <w:qFormat/>
    <w:rPr>
      <w:rFonts w:ascii="Symbol" w:hAnsi="Symbol" w:cs="Symbol"/>
      <w:sz w:val="18"/>
    </w:rPr>
  </w:style>
  <w:style w:type="character" w:styleId="WW8Num12z0">
    <w:name w:val="WW8Num12z0"/>
    <w:qFormat/>
    <w:rPr>
      <w:rFonts w:ascii="Symbol" w:hAnsi="Symbol" w:cs="Symbol"/>
      <w:sz w:val="18"/>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sz w:val="18"/>
    </w:rPr>
  </w:style>
  <w:style w:type="character" w:styleId="WW8Num18z0">
    <w:name w:val="WW8Num18z0"/>
    <w:qFormat/>
    <w:rPr/>
  </w:style>
  <w:style w:type="character" w:styleId="WW8Num20z0">
    <w:name w:val="WW8Num20z0"/>
    <w:qFormat/>
    <w:rPr>
      <w:rFonts w:ascii="Symbol" w:hAnsi="Symbol" w:cs="Symbol"/>
      <w:sz w:val="18"/>
    </w:rPr>
  </w:style>
  <w:style w:type="character" w:styleId="WW8Num21z0">
    <w:name w:val="WW8Num21z0"/>
    <w:qFormat/>
    <w:rPr>
      <w:rFonts w:ascii="Times New Roman" w:hAnsi="Times New Roman" w:cs="Times New Roman"/>
      <w:caps w:val="false"/>
      <w:smallCaps w:val="false"/>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rFonts w:ascii="Arial" w:hAnsi="Arial" w:cs="Arial"/>
      <w:sz w:val="24"/>
    </w:rPr>
  </w:style>
  <w:style w:type="paragraph" w:styleId="BodyTextIndent2">
    <w:name w:val="Body Text Indent 2"/>
    <w:basedOn w:val="Normal"/>
    <w:qFormat/>
    <w:pPr>
      <w:ind w:hanging="0" w:start="360" w:end="0"/>
    </w:pPr>
    <w:rPr>
      <w:rFonts w:ascii="Arial" w:hAnsi="Arial" w:cs="Arial"/>
      <w:sz w:val="24"/>
    </w:rPr>
  </w:style>
  <w:style w:type="paragraph" w:styleId="BodyTextIndent3">
    <w:name w:val="Body Text Indent 3"/>
    <w:basedOn w:val="Normal"/>
    <w:qFormat/>
    <w:pPr>
      <w:ind w:hanging="284" w:start="851" w:end="0"/>
    </w:pPr>
    <w:rPr>
      <w:rFonts w:ascii="Arial" w:hAnsi="Arial" w:cs="Arial"/>
      <w:sz w:val="24"/>
    </w:rPr>
  </w:style>
  <w:style w:type="paragraph" w:styleId="BodyText2">
    <w:name w:val="Body Text 2"/>
    <w:basedOn w:val="Normal"/>
    <w:qFormat/>
    <w:pPr>
      <w:spacing w:lineRule="atLeast" w:line="240"/>
      <w:jc w:val="both"/>
    </w:pPr>
    <w:rPr>
      <w:rFonts w:ascii="Arial" w:hAnsi="Arial" w:cs="Arial"/>
      <w:color w:val="000000"/>
      <w:sz w:val="22"/>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2000-12-12T16:47:00Z</dcterms:created>
  <dc:creator>PCTag# 2384</dc:creator>
  <dc:description/>
  <dc:language>en-CA</dc:language>
  <cp:lastModifiedBy>EI</cp:lastModifiedBy>
  <cp:lastPrinted>2000-11-24T08:58:00Z</cp:lastPrinted>
  <dcterms:modified xsi:type="dcterms:W3CDTF">2000-12-12T16:53:00Z</dcterms:modified>
  <cp:revision>4</cp:revision>
  <dc:subject/>
  <dc:title>1 September 1998</dc:title>
</cp:coreProperties>
</file>