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rFonts w:ascii="CG Times" w:hAnsi="CG Times" w:cs="CG Times"/>
        </w:rPr>
      </w:pPr>
      <w:r>
        <w:rPr>
          <w:rFonts w:cs="CG Times" w:ascii="CG Times" w:hAnsi="CG Times"/>
          <w:b/>
        </w:rPr>
        <w:t>ENRON CORP.</w:t>
      </w:r>
    </w:p>
    <w:p>
      <w:pPr>
        <w:pStyle w:val="Normal"/>
        <w:suppressAutoHyphens w:val="true"/>
        <w:jc w:val="center"/>
        <w:rPr>
          <w:rFonts w:ascii="CG Times" w:hAnsi="CG Times" w:cs="CG Times"/>
        </w:rPr>
      </w:pPr>
      <w:r>
        <w:rPr>
          <w:rFonts w:cs="CG Times" w:ascii="CG Times" w:hAnsi="CG Times"/>
        </w:rPr>
      </w:r>
    </w:p>
    <w:p>
      <w:pPr>
        <w:pStyle w:val="Normal"/>
        <w:suppressAutoHyphens w:val="true"/>
        <w:jc w:val="center"/>
        <w:rPr>
          <w:rFonts w:ascii="CG Times" w:hAnsi="CG Times" w:cs="CG Times"/>
          <w:b/>
          <w:u w:val="single"/>
        </w:rPr>
      </w:pPr>
      <w:r>
        <w:rPr>
          <w:rFonts w:cs="CG Times" w:ascii="CG Times" w:hAnsi="CG Times"/>
          <w:b/>
          <w:u w:val="single"/>
        </w:rPr>
        <w:t>Short-Form Questionnaire for</w:t>
      </w:r>
    </w:p>
    <w:p>
      <w:pPr>
        <w:pStyle w:val="Normal"/>
        <w:suppressAutoHyphens w:val="true"/>
        <w:jc w:val="center"/>
        <w:rPr>
          <w:rFonts w:ascii="CG Times" w:hAnsi="CG Times" w:cs="CG Times"/>
        </w:rPr>
      </w:pPr>
      <w:r>
        <w:rPr>
          <w:rFonts w:cs="CG Times" w:ascii="CG Times" w:hAnsi="CG Times"/>
          <w:b/>
          <w:u w:val="single"/>
        </w:rPr>
        <w:t>Executive Officers, Directors and Nominees for Director</w:t>
      </w:r>
    </w:p>
    <w:p>
      <w:pPr>
        <w:pStyle w:val="Normal"/>
        <w:suppressAutoHyphens w:val="true"/>
        <w:jc w:val="center"/>
        <w:rPr>
          <w:rFonts w:ascii="CG Times" w:hAnsi="CG Times" w:cs="CG Times"/>
        </w:rPr>
      </w:pPr>
      <w:r>
        <w:rPr>
          <w:rFonts w:cs="CG Times" w:ascii="CG Times" w:hAnsi="CG Times"/>
        </w:rPr>
      </w:r>
    </w:p>
    <w:p>
      <w:pPr>
        <w:pStyle w:val="Normal"/>
        <w:suppressAutoHyphens w:val="true"/>
        <w:jc w:val="center"/>
        <w:rPr>
          <w:rFonts w:ascii="CG Times" w:hAnsi="CG Times" w:cs="CG Times"/>
        </w:rPr>
      </w:pPr>
      <w:r>
        <w:rPr>
          <w:rFonts w:cs="CG Times" w:ascii="CG Times" w:hAnsi="CG Times"/>
        </w:rPr>
        <w:t>Information Furnished by</w:t>
      </w:r>
    </w:p>
    <w:p>
      <w:pPr>
        <w:pStyle w:val="Normal"/>
        <w:suppressAutoHyphens w:val="true"/>
        <w:jc w:val="center"/>
        <w:rPr>
          <w:rFonts w:ascii="CG Times" w:hAnsi="CG Times" w:cs="CG Times"/>
        </w:rPr>
      </w:pPr>
      <w:r>
        <w:rPr>
          <w:rFonts w:cs="CG Times" w:ascii="CG Times" w:hAnsi="CG Times"/>
        </w:rPr>
      </w:r>
    </w:p>
    <w:p>
      <w:pPr>
        <w:pStyle w:val="Normal"/>
        <w:suppressAutoHyphens w:val="true"/>
        <w:rPr>
          <w:rFonts w:ascii="CG Times" w:hAnsi="CG Times" w:cs="CG Times"/>
        </w:rPr>
      </w:pPr>
      <w:r>
        <w:rPr>
          <w:rFonts w:cs="CG Times" w:ascii="CG Times" w:hAnsi="CG Times"/>
        </w:rPr>
      </w:r>
    </w:p>
    <w:p>
      <w:pPr>
        <w:pStyle w:val="Normal"/>
        <w:tabs>
          <w:tab w:val="clear" w:pos="720"/>
          <w:tab w:val="left" w:pos="2340" w:leader="none"/>
          <w:tab w:val="center" w:pos="4680" w:leader="none"/>
          <w:tab w:val="left" w:pos="7020" w:leader="none"/>
        </w:tabs>
        <w:suppressAutoHyphens w:val="true"/>
        <w:rPr/>
      </w:pPr>
      <w:r>
        <w:rPr>
          <w:rFonts w:cs="CG Times" w:ascii="CG Times" w:hAnsi="CG Times"/>
        </w:rPr>
        <w:tab/>
      </w:r>
      <w:r>
        <w:rPr>
          <w:rFonts w:cs="CG Times" w:ascii="CG Times" w:hAnsi="CG Times"/>
          <w:u w:val="single"/>
        </w:rPr>
        <w:tab/>
        <w:t>RICHARD B. BUY</w:t>
        <w:tab/>
      </w:r>
    </w:p>
    <w:p>
      <w:pPr>
        <w:pStyle w:val="Normal"/>
        <w:suppressAutoHyphens w:val="true"/>
        <w:jc w:val="center"/>
        <w:rPr>
          <w:rFonts w:ascii="CG Times" w:hAnsi="CG Times" w:cs="CG Times"/>
        </w:rPr>
      </w:pPr>
      <w:r>
        <w:rPr>
          <w:rFonts w:cs="CG Times" w:ascii="CG Times" w:hAnsi="CG Times"/>
        </w:rPr>
        <w:t xml:space="preserve">for 2001 Proxy Statement and </w:t>
      </w:r>
    </w:p>
    <w:p>
      <w:pPr>
        <w:pStyle w:val="Normal"/>
        <w:suppressAutoHyphens w:val="true"/>
        <w:jc w:val="center"/>
        <w:rPr>
          <w:rFonts w:ascii="CG Times" w:hAnsi="CG Times" w:cs="CG Times"/>
        </w:rPr>
      </w:pPr>
      <w:r>
        <w:rPr>
          <w:rFonts w:cs="CG Times" w:ascii="CG Times" w:hAnsi="CG Times"/>
        </w:rPr>
        <w:t>Annual Report on Form 10-K</w:t>
      </w:r>
    </w:p>
    <w:p>
      <w:pPr>
        <w:pStyle w:val="Normal"/>
        <w:suppressAutoHyphens w:val="true"/>
        <w:jc w:val="center"/>
        <w:rPr>
          <w:rFonts w:ascii="CG Times" w:hAnsi="CG Times" w:cs="CG Times"/>
        </w:rPr>
      </w:pPr>
      <w:r>
        <w:rPr>
          <w:rFonts w:cs="CG Times" w:ascii="CG Times" w:hAnsi="CG Times"/>
        </w:rPr>
        <w:t>for the Fiscal Year</w:t>
      </w:r>
    </w:p>
    <w:p>
      <w:pPr>
        <w:pStyle w:val="Normal"/>
        <w:suppressAutoHyphens w:val="true"/>
        <w:jc w:val="center"/>
        <w:rPr>
          <w:rFonts w:ascii="CG Times" w:hAnsi="CG Times" w:cs="CG Times"/>
        </w:rPr>
      </w:pPr>
      <w:r>
        <w:rPr>
          <w:rFonts w:cs="CG Times" w:ascii="CG Times" w:hAnsi="CG Times"/>
        </w:rPr>
        <w:t>Ended December 31, 2000</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b/>
        <w:t xml:space="preserve">This questionnaire is being sent to the executive officers, directors and nominees for director of Enron Corp. (the “Company”).  </w:t>
      </w:r>
      <w:r>
        <w:rPr>
          <w:rFonts w:cs="CG Times" w:ascii="CG Times" w:hAnsi="CG Times"/>
          <w:b/>
          <w:i/>
          <w:spacing w:val="-3"/>
        </w:rPr>
        <w:t>Please answer all questions using the entry “None” or “N/A”  (to indicate not applicable) where appropriate.  Reference is made to Appendix A for definitions of terms marked with an asterisk.</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b/>
        <w:t>(a)</w:t>
      </w:r>
      <w:r>
        <w:rPr>
          <w:rFonts w:cs="CG Times" w:ascii="CG Times" w:hAnsi="CG Times"/>
          <w:b/>
          <w:spacing w:val="-3"/>
        </w:rPr>
        <w:tab/>
        <w:t>Holdings of Equity Securities of the Company and its Subsidiaries.</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ascii="CG Times" w:hAnsi="CG Times"/>
          <w:spacing w:val="-3"/>
        </w:rPr>
        <w:tab/>
        <w:tab/>
        <w:t>(i)</w:t>
        <w:tab/>
        <w:t xml:space="preserve">State the total amount of each class of equity securities of the Company and its subsidiaries, other than directors' qualifying shares, deemed to be </w:t>
      </w:r>
      <w:r>
        <w:rPr>
          <w:rFonts w:cs="CG Times" w:ascii="CG Times" w:hAnsi="CG Times"/>
          <w:b/>
          <w:spacing w:val="-3"/>
        </w:rPr>
        <w:t>beneficially owned by you</w:t>
      </w:r>
      <w:r>
        <w:rPr>
          <w:rFonts w:cs="CG Times" w:ascii="CG Times" w:hAnsi="CG Times"/>
          <w:spacing w:val="-3"/>
        </w:rPr>
        <w:t xml:space="preserve"> as of the close of business on February 15, 2001, </w:t>
      </w:r>
      <w:r>
        <w:rPr>
          <w:rFonts w:cs="CG Times" w:ascii="CG Times" w:hAnsi="CG Times"/>
          <w:b/>
          <w:spacing w:val="-3"/>
        </w:rPr>
        <w:t xml:space="preserve">because you or a family member who shares your household directly or indirectly has or shares </w:t>
      </w:r>
      <w:r>
        <w:rPr>
          <w:rFonts w:cs="CG Times" w:ascii="CG Times" w:hAnsi="CG Times"/>
          <w:b/>
          <w:spacing w:val="-3"/>
          <w:u w:val="single"/>
        </w:rPr>
        <w:t>voting or investment power*</w:t>
      </w:r>
      <w:r>
        <w:rPr>
          <w:rFonts w:cs="CG Times" w:ascii="CG Times" w:hAnsi="CG Times"/>
          <w:spacing w:val="-3"/>
        </w:rPr>
        <w:t xml:space="preserve"> over such securities.</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ascii="CG Times" w:hAnsi="CG Times"/>
          <w:spacing w:val="-3"/>
        </w:rPr>
        <w:tab/>
        <w:t xml:space="preserve">In computing this total, you should </w:t>
      </w:r>
      <w:r>
        <w:rPr>
          <w:rFonts w:cs="CG Times" w:ascii="CG Times" w:hAnsi="CG Times"/>
          <w:b/>
          <w:spacing w:val="-3"/>
          <w:u w:val="single"/>
        </w:rPr>
        <w:t>include</w:t>
      </w:r>
      <w:r>
        <w:rPr>
          <w:rFonts w:cs="CG Times" w:ascii="CG Times" w:hAnsi="CG Times"/>
          <w:spacing w:val="-3"/>
        </w:rPr>
        <w:t xml:space="preserve"> not only the </w:t>
      </w:r>
      <w:r>
        <w:rPr>
          <w:rFonts w:cs="CG Times" w:ascii="CG Times" w:hAnsi="CG Times"/>
          <w:b/>
          <w:spacing w:val="-3"/>
        </w:rPr>
        <w:t>securities</w:t>
      </w:r>
      <w:r>
        <w:rPr>
          <w:rFonts w:cs="CG Times" w:ascii="CG Times" w:hAnsi="CG Times"/>
          <w:spacing w:val="-3"/>
        </w:rPr>
        <w:t xml:space="preserve"> which you </w:t>
      </w:r>
      <w:r>
        <w:rPr>
          <w:rFonts w:cs="CG Times" w:ascii="CG Times" w:hAnsi="CG Times"/>
          <w:b/>
          <w:spacing w:val="-3"/>
        </w:rPr>
        <w:t>own of record</w:t>
      </w:r>
      <w:r>
        <w:rPr>
          <w:rFonts w:cs="CG Times" w:ascii="CG Times" w:hAnsi="CG Times"/>
          <w:spacing w:val="-3"/>
        </w:rPr>
        <w:t xml:space="preserve"> including shares held by the transfer agent </w:t>
      </w:r>
      <w:r>
        <w:rPr>
          <w:rFonts w:cs="CG Times" w:ascii="CG Times" w:hAnsi="CG Times"/>
          <w:b/>
          <w:spacing w:val="-3"/>
        </w:rPr>
        <w:t>in a dividend reinvestment account</w:t>
      </w:r>
      <w:r>
        <w:rPr>
          <w:rFonts w:cs="CG Times" w:ascii="CG Times" w:hAnsi="CG Times"/>
          <w:spacing w:val="-3"/>
        </w:rPr>
        <w:t xml:space="preserve">, but also all other securities of which you may be deemed to be the beneficial owner by virtue of the Rule 13d-3 definition of “beneficial ownership” set forth in the Appendix, including but not limited to, shares held in </w:t>
      </w:r>
      <w:r>
        <w:rPr>
          <w:rFonts w:cs="CG Times" w:ascii="CG Times" w:hAnsi="CG Times"/>
          <w:b/>
          <w:spacing w:val="-3"/>
        </w:rPr>
        <w:t>broker accounts</w:t>
      </w:r>
      <w:r>
        <w:rPr>
          <w:rFonts w:cs="CG Times" w:ascii="CG Times" w:hAnsi="CG Times"/>
          <w:spacing w:val="-3"/>
        </w:rPr>
        <w:t xml:space="preserve">, </w:t>
      </w:r>
      <w:r>
        <w:rPr>
          <w:rFonts w:cs="CG Times" w:ascii="CG Times" w:hAnsi="CG Times"/>
          <w:b/>
          <w:spacing w:val="-3"/>
        </w:rPr>
        <w:t>IRA's</w:t>
      </w:r>
      <w:r>
        <w:rPr>
          <w:rFonts w:cs="CG Times" w:ascii="CG Times" w:hAnsi="CG Times"/>
          <w:spacing w:val="-3"/>
        </w:rPr>
        <w:t xml:space="preserve">, </w:t>
      </w:r>
      <w:r>
        <w:rPr>
          <w:rFonts w:cs="CG Times" w:ascii="CG Times" w:hAnsi="CG Times"/>
          <w:b/>
          <w:spacing w:val="-3"/>
        </w:rPr>
        <w:t>trusts</w:t>
      </w:r>
      <w:r>
        <w:rPr>
          <w:rFonts w:cs="CG Times" w:ascii="CG Times" w:hAnsi="CG Times"/>
          <w:spacing w:val="-3"/>
        </w:rPr>
        <w:t xml:space="preserve">, </w:t>
      </w:r>
      <w:r>
        <w:rPr>
          <w:rFonts w:cs="CG Times" w:ascii="CG Times" w:hAnsi="CG Times"/>
          <w:b/>
          <w:spacing w:val="-3"/>
        </w:rPr>
        <w:t>partnerships, corporations</w:t>
      </w:r>
      <w:r>
        <w:rPr>
          <w:rFonts w:cs="CG Times" w:ascii="CG Times" w:hAnsi="CG Times"/>
          <w:spacing w:val="-3"/>
        </w:rPr>
        <w:t xml:space="preserve"> and </w:t>
      </w:r>
      <w:r>
        <w:rPr>
          <w:rFonts w:cs="CG Times" w:ascii="CG Times" w:hAnsi="CG Times"/>
          <w:b/>
          <w:spacing w:val="-3"/>
        </w:rPr>
        <w:t>private foundations</w:t>
      </w:r>
      <w:r>
        <w:rPr>
          <w:rFonts w:cs="CG Times" w:ascii="CG Times" w:hAnsi="CG Times"/>
          <w:spacing w:val="-3"/>
        </w:rPr>
        <w:t xml:space="preserve"> (</w:t>
      </w:r>
      <w:r>
        <w:rPr>
          <w:rFonts w:cs="CG Times" w:ascii="CG Times" w:hAnsi="CG Times"/>
          <w:i/>
          <w:spacing w:val="-3"/>
        </w:rPr>
        <w:t>which may not be included on your Form 4 direct and indirect holdings because you have no pecuniary interest* in such securities</w:t>
      </w:r>
      <w:r>
        <w:rPr>
          <w:rFonts w:cs="CG Times" w:ascii="CG Times" w:hAnsi="CG Times"/>
          <w:spacing w:val="-3"/>
        </w:rPr>
        <w:t xml:space="preserve">), as well as shares which you have a right to acquire from conversions or exercise of publicly traded options.  </w:t>
      </w:r>
      <w:r>
        <w:rPr>
          <w:rFonts w:cs="CG Times" w:ascii="CG Times" w:hAnsi="CG Times"/>
          <w:b/>
          <w:spacing w:val="-3"/>
          <w:u w:val="single"/>
        </w:rPr>
        <w:t>DO NOT</w:t>
      </w:r>
      <w:r>
        <w:rPr>
          <w:rFonts w:cs="CG Times" w:ascii="CG Times" w:hAnsi="CG Times"/>
          <w:spacing w:val="-3"/>
        </w:rPr>
        <w:t xml:space="preserve"> </w:t>
      </w:r>
      <w:r>
        <w:rPr>
          <w:rFonts w:cs="CG Times" w:ascii="CG Times" w:hAnsi="CG Times"/>
          <w:b/>
          <w:spacing w:val="-3"/>
          <w:u w:val="single"/>
        </w:rPr>
        <w:t>include</w:t>
      </w:r>
      <w:r>
        <w:rPr>
          <w:rFonts w:cs="CG Times" w:ascii="CG Times" w:hAnsi="CG Times"/>
          <w:spacing w:val="-3"/>
        </w:rPr>
        <w:t xml:space="preserve"> </w:t>
      </w:r>
      <w:r>
        <w:rPr>
          <w:rFonts w:cs="CG Times" w:ascii="CG Times" w:hAnsi="CG Times"/>
          <w:b/>
          <w:spacing w:val="-3"/>
        </w:rPr>
        <w:t>unvested restricted shares or phantom units</w:t>
      </w:r>
      <w:r>
        <w:rPr>
          <w:rFonts w:cs="CG Times" w:ascii="CG Times" w:hAnsi="CG Times"/>
          <w:spacing w:val="-3"/>
        </w:rPr>
        <w:t xml:space="preserve"> or shares that may be acquired by you pursuant to </w:t>
      </w:r>
      <w:r>
        <w:rPr>
          <w:rFonts w:cs="CG Times" w:ascii="CG Times" w:hAnsi="CG Times"/>
          <w:b/>
          <w:spacing w:val="-3"/>
        </w:rPr>
        <w:t>outstanding stock options under a stock plan of the Company or its subsidiaries or shares held for</w:t>
      </w:r>
      <w:r>
        <w:rPr>
          <w:rFonts w:cs="CG Times" w:ascii="CG Times" w:hAnsi="CG Times"/>
          <w:spacing w:val="-3"/>
        </w:rPr>
        <w:t xml:space="preserve"> your account in the Company's </w:t>
      </w:r>
      <w:r>
        <w:rPr>
          <w:rFonts w:cs="CG Times" w:ascii="CG Times" w:hAnsi="CG Times"/>
          <w:b/>
          <w:bCs/>
          <w:spacing w:val="-3"/>
        </w:rPr>
        <w:t xml:space="preserve">Deferral Plan, </w:t>
      </w:r>
      <w:r>
        <w:rPr>
          <w:rFonts w:cs="CG Times" w:ascii="CG Times" w:hAnsi="CG Times"/>
          <w:b/>
          <w:spacing w:val="-3"/>
        </w:rPr>
        <w:t>Savings Plan</w:t>
      </w:r>
      <w:r>
        <w:rPr>
          <w:rFonts w:cs="CG Times" w:ascii="CG Times" w:hAnsi="CG Times"/>
          <w:spacing w:val="-3"/>
        </w:rPr>
        <w:t xml:space="preserve"> and the </w:t>
      </w:r>
      <w:r>
        <w:rPr>
          <w:rFonts w:cs="CG Times" w:ascii="CG Times" w:hAnsi="CG Times"/>
          <w:b/>
          <w:spacing w:val="-3"/>
        </w:rPr>
        <w:t>Employee Stock Ownership Plan</w:t>
      </w:r>
      <w:r>
        <w:rPr>
          <w:rFonts w:cs="CG Times" w:ascii="CG Times" w:hAnsi="CG Times"/>
          <w:spacing w:val="-3"/>
        </w:rPr>
        <w:t>.  These numbers will be obtained from Company records as required.  In the event that you may be required, by virtue of such definition, to include in your response certain securities which you do not consider to be beneficially owned by you for Section 16 purposes because you have no pecuniary interest* in such securities, you are free to state that your response shall not be construed as an admission that you are, for purposes of Section 16 of the Securities Exchange Act of 1934, the beneficial owner of such securities.</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b/>
        <w:t>If you have shared voting power* or shared investment power*, indicate separately the number of shares or units with respect to which (i) voting power is shared or (ii) investment power is shared.  Briefly describe any contract, arrangement, understanding or other basis on which such powers are shared.  Disregard shared voting or investment power created under joint tenancy or marital property laws as between you and your spouse, if any.</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b/>
          <w:i/>
          <w:i/>
          <w:spacing w:val="-3"/>
        </w:rPr>
      </w:pPr>
      <w:r>
        <w:rPr>
          <w:rFonts w:cs="CG Times" w:ascii="CG Times" w:hAnsi="CG Times"/>
          <w:spacing w:val="-3"/>
        </w:rPr>
        <w:tab/>
        <w:t>The classes of equity securities for the Company and its subsidiaries* which are included in the table below are as follows:</w:t>
      </w:r>
    </w:p>
    <w:p>
      <w:pPr>
        <w:pStyle w:val="Normal"/>
        <w:suppressAutoHyphens w:val="true"/>
        <w:jc w:val="both"/>
        <w:rPr>
          <w:rFonts w:ascii="CG Times" w:hAnsi="CG Times" w:cs="CG Times"/>
          <w:b/>
          <w:i/>
          <w:i/>
          <w:spacing w:val="-3"/>
        </w:rPr>
      </w:pPr>
      <w:r>
        <w:rPr>
          <w:rFonts w:cs="CG Times" w:ascii="CG Times" w:hAnsi="CG Times"/>
          <w:b/>
          <w:i/>
          <w:spacing w:val="-3"/>
        </w:rPr>
      </w:r>
    </w:p>
    <w:p>
      <w:pPr>
        <w:pStyle w:val="Normal"/>
        <w:suppressAutoHyphens w:val="true"/>
        <w:jc w:val="both"/>
        <w:rPr>
          <w:rFonts w:ascii="CG Times" w:hAnsi="CG Times" w:cs="CG Times"/>
          <w:spacing w:val="-3"/>
        </w:rPr>
      </w:pPr>
      <w:r>
        <w:rPr>
          <w:rFonts w:cs="CG Times" w:ascii="CG Times" w:hAnsi="CG Times"/>
          <w:spacing w:val="-3"/>
        </w:rPr>
        <w:tab/>
        <w:tab/>
        <w:tab/>
        <w:t>Enron Corp. Common Stock (“ENE Common”)</w:t>
      </w:r>
    </w:p>
    <w:p>
      <w:pPr>
        <w:pStyle w:val="Normal"/>
        <w:suppressAutoHyphens w:val="true"/>
        <w:jc w:val="both"/>
        <w:rPr>
          <w:rFonts w:ascii="CG Times" w:hAnsi="CG Times" w:cs="CG Times"/>
          <w:spacing w:val="-3"/>
        </w:rPr>
      </w:pPr>
      <w:r>
        <w:rPr>
          <w:rFonts w:cs="CG Times" w:ascii="CG Times" w:hAnsi="CG Times"/>
          <w:spacing w:val="-3"/>
        </w:rPr>
        <w:tab/>
        <w:tab/>
        <w:tab/>
        <w:t>Enron Corp. Cumulative Second Preferred Convertible</w:t>
      </w:r>
    </w:p>
    <w:p>
      <w:pPr>
        <w:pStyle w:val="Normal"/>
        <w:suppressAutoHyphens w:val="true"/>
        <w:jc w:val="both"/>
        <w:rPr>
          <w:rFonts w:ascii="CG Times" w:hAnsi="CG Times" w:cs="CG Times"/>
          <w:spacing w:val="-3"/>
        </w:rPr>
      </w:pPr>
      <w:r>
        <w:rPr>
          <w:rFonts w:cs="CG Times" w:ascii="CG Times" w:hAnsi="CG Times"/>
          <w:spacing w:val="-3"/>
        </w:rPr>
        <w:tab/>
        <w:tab/>
        <w:tab/>
        <w:tab/>
        <w:t>Stock (“ENE/PJ”)</w:t>
      </w:r>
    </w:p>
    <w:p>
      <w:pPr>
        <w:pStyle w:val="Normal"/>
        <w:suppressAutoHyphens w:val="true"/>
        <w:jc w:val="both"/>
        <w:rPr>
          <w:rFonts w:ascii="CG Times" w:hAnsi="CG Times" w:cs="CG Times"/>
          <w:spacing w:val="-3"/>
        </w:rPr>
      </w:pPr>
      <w:r>
        <w:rPr>
          <w:rFonts w:cs="CG Times" w:ascii="CG Times" w:hAnsi="CG Times"/>
          <w:spacing w:val="-3"/>
        </w:rPr>
        <w:tab/>
        <w:tab/>
        <w:tab/>
        <w:t>Enron Capital LLC 8% Cumulative Guaranteed Monthly</w:t>
      </w:r>
    </w:p>
    <w:p>
      <w:pPr>
        <w:pStyle w:val="Normal"/>
        <w:suppressAutoHyphens w:val="true"/>
        <w:jc w:val="both"/>
        <w:rPr>
          <w:rFonts w:ascii="CG Times" w:hAnsi="CG Times" w:cs="CG Times"/>
          <w:spacing w:val="-3"/>
        </w:rPr>
      </w:pPr>
      <w:r>
        <w:rPr>
          <w:rFonts w:cs="CG Times" w:ascii="CG Times" w:hAnsi="CG Times"/>
          <w:spacing w:val="-3"/>
        </w:rPr>
        <w:tab/>
        <w:tab/>
        <w:tab/>
        <w:tab/>
        <w:t>Income Preferred Shares (“ENE/PC”)</w:t>
      </w:r>
    </w:p>
    <w:p>
      <w:pPr>
        <w:pStyle w:val="Normal"/>
        <w:suppressAutoHyphens w:val="true"/>
        <w:jc w:val="both"/>
        <w:rPr>
          <w:rFonts w:ascii="CG Times" w:hAnsi="CG Times" w:cs="CG Times"/>
          <w:spacing w:val="-3"/>
        </w:rPr>
      </w:pPr>
      <w:r>
        <w:rPr>
          <w:rFonts w:cs="CG Times" w:ascii="CG Times" w:hAnsi="CG Times"/>
          <w:spacing w:val="-3"/>
        </w:rPr>
        <w:tab/>
        <w:tab/>
        <w:tab/>
        <w:t>Enron Capital Resources, L.P. 9% Cumulative Preferred</w:t>
      </w:r>
    </w:p>
    <w:p>
      <w:pPr>
        <w:pStyle w:val="Normal"/>
        <w:suppressAutoHyphens w:val="true"/>
        <w:jc w:val="both"/>
        <w:rPr>
          <w:rFonts w:ascii="CG Times" w:hAnsi="CG Times" w:cs="CG Times"/>
          <w:spacing w:val="-3"/>
        </w:rPr>
      </w:pPr>
      <w:r>
        <w:rPr>
          <w:rFonts w:cs="CG Times" w:ascii="CG Times" w:hAnsi="CG Times"/>
          <w:spacing w:val="-3"/>
        </w:rPr>
        <w:tab/>
        <w:tab/>
        <w:tab/>
        <w:tab/>
        <w:t>Securities, Series A (“ENE/PA”)</w:t>
      </w:r>
    </w:p>
    <w:p>
      <w:pPr>
        <w:pStyle w:val="Normal"/>
        <w:suppressAutoHyphens w:val="true"/>
        <w:jc w:val="both"/>
        <w:rPr>
          <w:rFonts w:ascii="CG Times" w:hAnsi="CG Times" w:cs="CG Times"/>
          <w:spacing w:val="-3"/>
        </w:rPr>
      </w:pPr>
      <w:r>
        <w:rPr>
          <w:rFonts w:cs="CG Times" w:ascii="CG Times" w:hAnsi="CG Times"/>
          <w:spacing w:val="-3"/>
        </w:rPr>
        <w:tab/>
        <w:tab/>
        <w:tab/>
        <w:t xml:space="preserve">Enron Capital Trust I 8.30% Trust Originated Preferred </w:t>
      </w:r>
    </w:p>
    <w:p>
      <w:pPr>
        <w:pStyle w:val="Normal"/>
        <w:suppressAutoHyphens w:val="true"/>
        <w:jc w:val="both"/>
        <w:rPr>
          <w:rFonts w:ascii="CG Times" w:hAnsi="CG Times" w:cs="CG Times"/>
          <w:spacing w:val="-3"/>
        </w:rPr>
      </w:pPr>
      <w:r>
        <w:rPr>
          <w:rFonts w:cs="CG Times" w:ascii="CG Times" w:hAnsi="CG Times"/>
          <w:spacing w:val="-3"/>
        </w:rPr>
        <w:tab/>
        <w:tab/>
        <w:tab/>
        <w:tab/>
        <w:t>Securities (“ENE/TOPrS I”)</w:t>
        <w:tab/>
        <w:tab/>
        <w:tab/>
      </w:r>
    </w:p>
    <w:p>
      <w:pPr>
        <w:pStyle w:val="Normal"/>
        <w:suppressAutoHyphens w:val="true"/>
        <w:jc w:val="both"/>
        <w:rPr>
          <w:rFonts w:ascii="CG Times" w:hAnsi="CG Times" w:cs="CG Times"/>
          <w:spacing w:val="-3"/>
        </w:rPr>
      </w:pPr>
      <w:r>
        <w:rPr>
          <w:rFonts w:cs="CG Times" w:ascii="CG Times" w:hAnsi="CG Times"/>
          <w:spacing w:val="-3"/>
        </w:rPr>
        <w:tab/>
        <w:tab/>
        <w:tab/>
        <w:t xml:space="preserve">Enron Capital Trust II 8 1/8 % Trust Originated Preferred </w:t>
      </w:r>
    </w:p>
    <w:p>
      <w:pPr>
        <w:pStyle w:val="Normal"/>
        <w:suppressAutoHyphens w:val="true"/>
        <w:jc w:val="both"/>
        <w:rPr>
          <w:rFonts w:ascii="CG Times" w:hAnsi="CG Times" w:cs="CG Times"/>
          <w:spacing w:val="-3"/>
        </w:rPr>
      </w:pPr>
      <w:r>
        <w:rPr>
          <w:rFonts w:cs="CG Times" w:ascii="CG Times" w:hAnsi="CG Times"/>
          <w:spacing w:val="-3"/>
        </w:rPr>
        <w:tab/>
        <w:tab/>
        <w:tab/>
        <w:tab/>
        <w:t>Securities (“ENE/TOPrS II”)</w:t>
      </w:r>
    </w:p>
    <w:p>
      <w:pPr>
        <w:pStyle w:val="Normal"/>
        <w:suppressAutoHyphens w:val="true"/>
        <w:ind w:start="2160" w:end="0"/>
        <w:jc w:val="both"/>
        <w:rPr>
          <w:rFonts w:ascii="CG Times" w:hAnsi="CG Times" w:cs="CG Times"/>
          <w:spacing w:val="-3"/>
        </w:rPr>
      </w:pPr>
      <w:r>
        <w:rPr>
          <w:rFonts w:cs="CG Times" w:ascii="CG Times" w:hAnsi="CG Times"/>
          <w:spacing w:val="-3"/>
        </w:rPr>
        <w:t>Northern Border Partners, L.P. Common Units (“NBP Units”)</w:t>
      </w:r>
    </w:p>
    <w:p>
      <w:pPr>
        <w:pStyle w:val="Normal"/>
        <w:suppressAutoHyphens w:val="true"/>
        <w:jc w:val="both"/>
        <w:rPr>
          <w:rFonts w:ascii="CG Times" w:hAnsi="CG Times" w:cs="CG Times"/>
          <w:spacing w:val="-3"/>
        </w:rPr>
      </w:pPr>
      <w:r>
        <w:rPr>
          <w:rFonts w:cs="CG Times" w:ascii="CG Times" w:hAnsi="CG Times"/>
          <w:spacing w:val="-3"/>
        </w:rPr>
        <w:tab/>
        <w:tab/>
        <w:tab/>
        <w:t>EOTT Energy Partners, L.P. Common Units (“EOT Units”)</w:t>
      </w:r>
    </w:p>
    <w:p>
      <w:pPr>
        <w:pStyle w:val="Normal"/>
        <w:suppressAutoHyphens w:val="true"/>
        <w:jc w:val="both"/>
        <w:rPr>
          <w:rFonts w:ascii="CG Times" w:hAnsi="CG Times" w:cs="CG Times"/>
          <w:spacing w:val="-3"/>
        </w:rPr>
      </w:pPr>
      <w:r>
        <w:rPr>
          <w:rFonts w:cs="CG Times" w:ascii="CG Times" w:hAnsi="CG Times"/>
          <w:spacing w:val="-3"/>
        </w:rPr>
        <w:tab/>
        <w:tab/>
        <w:tab/>
        <w:t>Transportadora de Gas del Sur S.A. American Depositary</w:t>
      </w:r>
    </w:p>
    <w:p>
      <w:pPr>
        <w:pStyle w:val="Normal"/>
        <w:suppressAutoHyphens w:val="true"/>
        <w:jc w:val="both"/>
        <w:rPr>
          <w:rFonts w:ascii="CG Times" w:hAnsi="CG Times" w:cs="CG Times"/>
          <w:spacing w:val="-3"/>
        </w:rPr>
      </w:pPr>
      <w:r>
        <w:rPr>
          <w:rFonts w:cs="CG Times" w:ascii="CG Times" w:hAnsi="CG Times"/>
          <w:spacing w:val="-3"/>
        </w:rPr>
        <w:tab/>
        <w:tab/>
        <w:tab/>
        <w:tab/>
        <w:t>Shares (“TGS ADS”)</w:t>
      </w:r>
    </w:p>
    <w:p>
      <w:pPr>
        <w:pStyle w:val="Normal"/>
        <w:suppressAutoHyphens w:val="true"/>
        <w:jc w:val="both"/>
        <w:rPr>
          <w:rFonts w:ascii="CG Times" w:hAnsi="CG Times" w:cs="CG Times"/>
          <w:spacing w:val="-3"/>
        </w:rPr>
      </w:pPr>
      <w:r>
        <w:rPr>
          <w:rFonts w:cs="CG Times" w:ascii="CG Times" w:hAnsi="CG Times"/>
          <w:spacing w:val="-3"/>
        </w:rPr>
        <w:tab/>
        <w:tab/>
        <w:tab/>
        <w:t>Portland General Electric Company 7.75% Preferred Shares</w:t>
      </w:r>
    </w:p>
    <w:p>
      <w:pPr>
        <w:pStyle w:val="Normal"/>
        <w:suppressAutoHyphens w:val="true"/>
        <w:jc w:val="both"/>
        <w:rPr>
          <w:rFonts w:ascii="CG Times" w:hAnsi="CG Times" w:cs="CG Times"/>
          <w:spacing w:val="-3"/>
        </w:rPr>
      </w:pPr>
      <w:r>
        <w:rPr>
          <w:rFonts w:cs="CG Times" w:ascii="CG Times" w:hAnsi="CG Times"/>
          <w:spacing w:val="-3"/>
        </w:rPr>
        <w:tab/>
        <w:tab/>
        <w:tab/>
        <w:tab/>
        <w:t>(“PGE Preferred”)</w:t>
      </w:r>
    </w:p>
    <w:p>
      <w:pPr>
        <w:pStyle w:val="Normal"/>
        <w:suppressAutoHyphens w:val="true"/>
        <w:jc w:val="both"/>
        <w:rPr>
          <w:rFonts w:ascii="CG Times" w:hAnsi="CG Times" w:cs="CG Times"/>
          <w:spacing w:val="-3"/>
        </w:rPr>
      </w:pPr>
      <w:r>
        <w:rPr>
          <w:rFonts w:cs="CG Times" w:ascii="CG Times" w:hAnsi="CG Times"/>
          <w:spacing w:val="-3"/>
        </w:rPr>
        <w:tab/>
        <w:tab/>
        <w:tab/>
        <w:t xml:space="preserve">Azurix Corp. Common Stock (“AZX Common”) </w:t>
      </w:r>
    </w:p>
    <w:p>
      <w:pPr>
        <w:pStyle w:val="Normal"/>
        <w:suppressAutoHyphens w:val="true"/>
        <w:jc w:val="both"/>
        <w:rPr>
          <w:rFonts w:ascii="CG Times" w:hAnsi="CG Times" w:cs="CG Times"/>
          <w:spacing w:val="-3"/>
        </w:rPr>
      </w:pPr>
      <w:r>
        <w:rPr>
          <w:rFonts w:cs="CG Times" w:ascii="CG Times" w:hAnsi="CG Times"/>
          <w:spacing w:val="-3"/>
        </w:rPr>
        <w:tab/>
        <w:tab/>
        <w:tab/>
        <w:t>The New Power Company Common Stock (“NPW Common”)</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b/>
        <w:t>My beneficial ownership, as of February 15, 2001, in each class of equity of the Company and its subsidiaries*, other than directors' qualifying shares, is as follows:</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pPr>
      <w:r>
        <w:rPr>
          <w:rFonts w:eastAsia="CG Times" w:cs="CG Times" w:ascii="CG Times" w:hAnsi="CG Times"/>
          <w:b/>
          <w:i/>
          <w:spacing w:val="-2"/>
          <w:sz w:val="20"/>
        </w:rPr>
        <w:t xml:space="preserve">                                                                 </w:t>
      </w:r>
      <w:r>
        <w:rPr>
          <w:rFonts w:eastAsia="CG Times" w:cs="CG Times" w:ascii="CG Times" w:hAnsi="CG Times"/>
          <w:b/>
          <w:i/>
          <w:spacing w:val="-2"/>
          <w:sz w:val="20"/>
          <w:u w:val="single"/>
        </w:rPr>
        <w:t xml:space="preserve"> </w:t>
      </w:r>
      <w:r>
        <w:rPr>
          <w:rFonts w:cs="CG Times" w:ascii="CG Times" w:hAnsi="CG Times"/>
          <w:b/>
          <w:i/>
          <w:spacing w:val="-2"/>
          <w:sz w:val="20"/>
          <w:u w:val="single"/>
        </w:rPr>
        <w:t>No. of shares for which I have</w:t>
      </w:r>
    </w:p>
    <w:p>
      <w:pPr>
        <w:pStyle w:val="Normal"/>
        <w:suppressAutoHyphens w:val="true"/>
        <w:jc w:val="both"/>
        <w:rPr>
          <w:rFonts w:ascii="CG Times" w:hAnsi="CG Times" w:eastAsia="CG Times" w:cs="CG Times"/>
          <w:spacing w:val="-2"/>
          <w:sz w:val="20"/>
        </w:rPr>
      </w:pPr>
      <w:r>
        <w:rPr>
          <w:rFonts w:eastAsia="CG Times" w:cs="CG Times" w:ascii="CG Times" w:hAnsi="CG Times"/>
          <w:spacing w:val="-2"/>
          <w:sz w:val="20"/>
        </w:rPr>
        <w:t xml:space="preserve">                                        </w:t>
      </w:r>
    </w:p>
    <w:p>
      <w:pPr>
        <w:pStyle w:val="Normal"/>
        <w:suppressAutoHyphens w:val="true"/>
        <w:jc w:val="both"/>
        <w:rPr>
          <w:rFonts w:ascii="CG Times" w:hAnsi="CG Times" w:cs="CG Times"/>
          <w:spacing w:val="-2"/>
          <w:sz w:val="20"/>
        </w:rPr>
      </w:pPr>
      <w:r>
        <w:rPr>
          <w:rFonts w:cs="CG Times" w:ascii="CG Times" w:hAnsi="CG Times"/>
          <w:spacing w:val="-2"/>
          <w:sz w:val="20"/>
        </w:rPr>
        <w:tab/>
        <w:tab/>
        <w:t>Sole Voting and</w:t>
        <w:tab/>
        <w:tab/>
        <w:t>Shared Voting and</w:t>
        <w:tab/>
        <w:t>Other Voting and</w:t>
        <w:tab/>
        <w:tab/>
        <w:t>Description</w:t>
      </w:r>
    </w:p>
    <w:p>
      <w:pPr>
        <w:pStyle w:val="Normal"/>
        <w:suppressAutoHyphens w:val="true"/>
        <w:jc w:val="both"/>
        <w:rPr>
          <w:rFonts w:ascii="CG Times" w:hAnsi="CG Times" w:cs="CG Times"/>
          <w:spacing w:val="-2"/>
          <w:sz w:val="20"/>
        </w:rPr>
      </w:pPr>
      <w:r>
        <w:rPr>
          <w:rFonts w:cs="CG Times" w:ascii="CG Times" w:hAnsi="CG Times"/>
          <w:spacing w:val="-2"/>
          <w:sz w:val="20"/>
          <w:u w:val="single"/>
        </w:rPr>
        <w:t>Title of Class</w:t>
      </w:r>
      <w:r>
        <w:rPr>
          <w:rFonts w:cs="CG Times" w:ascii="CG Times" w:hAnsi="CG Times"/>
          <w:spacing w:val="-2"/>
          <w:sz w:val="20"/>
        </w:rPr>
        <w:tab/>
      </w:r>
      <w:r>
        <w:rPr>
          <w:rFonts w:cs="CG Times" w:ascii="CG Times" w:hAnsi="CG Times"/>
          <w:spacing w:val="-2"/>
          <w:sz w:val="20"/>
          <w:u w:val="single"/>
        </w:rPr>
        <w:t>Investment Power</w:t>
      </w:r>
      <w:r>
        <w:rPr>
          <w:rFonts w:cs="CG Times" w:ascii="CG Times" w:hAnsi="CG Times"/>
          <w:spacing w:val="-2"/>
          <w:sz w:val="20"/>
        </w:rPr>
        <w:tab/>
        <w:tab/>
      </w:r>
      <w:r>
        <w:rPr>
          <w:rFonts w:cs="CG Times" w:ascii="CG Times" w:hAnsi="CG Times"/>
          <w:spacing w:val="-2"/>
          <w:sz w:val="20"/>
          <w:u w:val="single"/>
        </w:rPr>
        <w:t>Investment Power</w:t>
        <w:tab/>
      </w:r>
      <w:r>
        <w:rPr>
          <w:rFonts w:cs="CG Times" w:ascii="CG Times" w:hAnsi="CG Times"/>
          <w:spacing w:val="-2"/>
          <w:sz w:val="20"/>
        </w:rPr>
        <w:tab/>
      </w:r>
      <w:r>
        <w:rPr>
          <w:rFonts w:cs="CG Times" w:ascii="CG Times" w:hAnsi="CG Times"/>
          <w:spacing w:val="-2"/>
          <w:sz w:val="20"/>
          <w:u w:val="single"/>
        </w:rPr>
        <w:t>Investment Power</w:t>
        <w:tab/>
      </w:r>
      <w:r>
        <w:rPr>
          <w:rFonts w:cs="CG Times" w:ascii="CG Times" w:hAnsi="CG Times"/>
          <w:spacing w:val="-2"/>
          <w:sz w:val="20"/>
        </w:rPr>
        <w:tab/>
      </w:r>
      <w:r>
        <w:rPr>
          <w:rFonts w:cs="CG Times" w:ascii="CG Times" w:hAnsi="CG Times"/>
          <w:spacing w:val="-2"/>
          <w:sz w:val="20"/>
          <w:u w:val="single"/>
        </w:rPr>
        <w:t>of  Other</w:t>
      </w:r>
    </w:p>
    <w:p>
      <w:pPr>
        <w:pStyle w:val="Normal"/>
        <w:suppressAutoHyphens w:val="true"/>
        <w:jc w:val="both"/>
        <w:rPr>
          <w:rFonts w:ascii="CG Times" w:hAnsi="CG Times" w:cs="CG Times"/>
          <w:spacing w:val="-2"/>
          <w:sz w:val="20"/>
        </w:rPr>
      </w:pPr>
      <w:r>
        <w:rPr>
          <w:rFonts w:cs="CG Times" w:ascii="CG Times" w:hAnsi="CG Times"/>
          <w:spacing w:val="-2"/>
          <w:sz w:val="20"/>
        </w:rPr>
      </w:r>
    </w:p>
    <w:p>
      <w:pPr>
        <w:pStyle w:val="Normal"/>
        <w:suppressAutoHyphens w:val="true"/>
        <w:spacing w:lineRule="auto" w:line="360"/>
        <w:jc w:val="both"/>
        <w:rPr>
          <w:rFonts w:ascii="CG Times" w:hAnsi="CG Times" w:cs="CG Times"/>
          <w:spacing w:val="-2"/>
          <w:sz w:val="20"/>
        </w:rPr>
      </w:pPr>
      <w:r>
        <w:rPr>
          <w:rFonts w:cs="CG Times" w:ascii="CG Times" w:hAnsi="CG Times"/>
          <w:spacing w:val="-2"/>
          <w:sz w:val="20"/>
        </w:rPr>
        <w:t>ENE Common</w:t>
        <w:tab/>
        <w:t>____________</w:t>
        <w:tab/>
        <w:tab/>
        <w:t>____________</w:t>
        <w:tab/>
        <w:tab/>
        <w:t>____________</w:t>
        <w:tab/>
        <w:tab/>
        <w:t>____________</w:t>
      </w:r>
    </w:p>
    <w:p>
      <w:pPr>
        <w:pStyle w:val="Normal"/>
        <w:suppressAutoHyphens w:val="true"/>
        <w:spacing w:lineRule="auto" w:line="360"/>
        <w:jc w:val="both"/>
        <w:rPr>
          <w:rFonts w:ascii="CG Times" w:hAnsi="CG Times" w:cs="CG Times"/>
          <w:spacing w:val="-2"/>
          <w:sz w:val="20"/>
        </w:rPr>
      </w:pPr>
      <w:r>
        <w:rPr>
          <w:rFonts w:cs="CG Times" w:ascii="CG Times" w:hAnsi="CG Times"/>
          <w:spacing w:val="-2"/>
          <w:sz w:val="20"/>
        </w:rPr>
        <w:t>ENE/PJ</w:t>
        <w:tab/>
        <w:tab/>
        <w:t>____________</w:t>
        <w:tab/>
        <w:tab/>
        <w:t>____________</w:t>
        <w:tab/>
        <w:tab/>
        <w:t>____________</w:t>
        <w:tab/>
        <w:tab/>
        <w:t>____________</w:t>
      </w:r>
    </w:p>
    <w:p>
      <w:pPr>
        <w:pStyle w:val="Normal"/>
        <w:suppressAutoHyphens w:val="true"/>
        <w:spacing w:lineRule="auto" w:line="360"/>
        <w:jc w:val="both"/>
        <w:rPr>
          <w:rFonts w:ascii="CG Times" w:hAnsi="CG Times" w:cs="CG Times"/>
          <w:spacing w:val="-2"/>
          <w:sz w:val="20"/>
        </w:rPr>
      </w:pPr>
      <w:r>
        <w:rPr>
          <w:rFonts w:cs="CG Times" w:ascii="CG Times" w:hAnsi="CG Times"/>
          <w:spacing w:val="-2"/>
          <w:sz w:val="20"/>
        </w:rPr>
        <w:t>ENE/PC</w:t>
        <w:tab/>
        <w:tab/>
        <w:t>____________</w:t>
        <w:tab/>
        <w:tab/>
        <w:t>____________</w:t>
        <w:tab/>
        <w:tab/>
        <w:t>____________</w:t>
        <w:tab/>
        <w:tab/>
        <w:t>____________</w:t>
      </w:r>
    </w:p>
    <w:p>
      <w:pPr>
        <w:pStyle w:val="Normal"/>
        <w:suppressAutoHyphens w:val="true"/>
        <w:spacing w:lineRule="auto" w:line="360"/>
        <w:jc w:val="both"/>
        <w:rPr>
          <w:rFonts w:ascii="CG Times" w:hAnsi="CG Times" w:cs="CG Times"/>
          <w:spacing w:val="-2"/>
          <w:sz w:val="20"/>
        </w:rPr>
      </w:pPr>
      <w:r>
        <w:rPr>
          <w:rFonts w:cs="CG Times" w:ascii="CG Times" w:hAnsi="CG Times"/>
          <w:spacing w:val="-2"/>
          <w:sz w:val="20"/>
        </w:rPr>
        <w:t>ENE/PA</w:t>
        <w:tab/>
        <w:tab/>
        <w:t>____________</w:t>
        <w:tab/>
        <w:tab/>
        <w:t>____________</w:t>
        <w:tab/>
        <w:tab/>
        <w:t>____________</w:t>
        <w:tab/>
        <w:tab/>
        <w:t>____________</w:t>
      </w:r>
    </w:p>
    <w:p>
      <w:pPr>
        <w:pStyle w:val="Normal"/>
        <w:suppressAutoHyphens w:val="true"/>
        <w:spacing w:lineRule="auto" w:line="360"/>
        <w:jc w:val="both"/>
        <w:rPr>
          <w:rFonts w:ascii="CG Times" w:hAnsi="CG Times" w:cs="CG Times"/>
          <w:spacing w:val="-2"/>
          <w:sz w:val="20"/>
        </w:rPr>
      </w:pPr>
      <w:r>
        <w:rPr>
          <w:rFonts w:cs="CG Times" w:ascii="CG Times" w:hAnsi="CG Times"/>
          <w:spacing w:val="-2"/>
          <w:sz w:val="20"/>
        </w:rPr>
        <w:t>ENE/TOPrS I</w:t>
        <w:tab/>
        <w:t>____________</w:t>
        <w:tab/>
        <w:tab/>
        <w:t>____________</w:t>
        <w:tab/>
        <w:tab/>
        <w:t>____________</w:t>
        <w:tab/>
        <w:tab/>
        <w:t>____________</w:t>
      </w:r>
    </w:p>
    <w:p>
      <w:pPr>
        <w:pStyle w:val="Normal"/>
        <w:suppressAutoHyphens w:val="true"/>
        <w:spacing w:lineRule="auto" w:line="360"/>
        <w:jc w:val="both"/>
        <w:rPr>
          <w:rFonts w:ascii="CG Times" w:hAnsi="CG Times" w:cs="CG Times"/>
          <w:spacing w:val="-2"/>
          <w:sz w:val="20"/>
        </w:rPr>
      </w:pPr>
      <w:r>
        <w:rPr>
          <w:rFonts w:cs="CG Times" w:ascii="CG Times" w:hAnsi="CG Times"/>
          <w:spacing w:val="-2"/>
          <w:sz w:val="20"/>
        </w:rPr>
        <w:t>ENE/TOPrS II</w:t>
        <w:tab/>
        <w:t>____________</w:t>
        <w:tab/>
        <w:tab/>
        <w:t>____________</w:t>
        <w:tab/>
        <w:tab/>
        <w:t>____________</w:t>
        <w:tab/>
        <w:tab/>
        <w:t>____________</w:t>
      </w:r>
    </w:p>
    <w:p>
      <w:pPr>
        <w:pStyle w:val="Normal"/>
        <w:suppressAutoHyphens w:val="true"/>
        <w:spacing w:lineRule="auto" w:line="360"/>
        <w:jc w:val="both"/>
        <w:rPr>
          <w:rFonts w:ascii="CG Times" w:hAnsi="CG Times" w:cs="CG Times"/>
          <w:spacing w:val="-2"/>
          <w:sz w:val="20"/>
        </w:rPr>
      </w:pPr>
      <w:r>
        <w:rPr>
          <w:rFonts w:cs="CG Times" w:ascii="CG Times" w:hAnsi="CG Times"/>
          <w:spacing w:val="-2"/>
          <w:sz w:val="20"/>
        </w:rPr>
        <w:t>NBP Units</w:t>
        <w:tab/>
        <w:t>____________</w:t>
        <w:tab/>
        <w:tab/>
        <w:t>____________</w:t>
        <w:tab/>
        <w:tab/>
        <w:t>____________</w:t>
        <w:tab/>
        <w:tab/>
        <w:t>____________</w:t>
      </w:r>
    </w:p>
    <w:p>
      <w:pPr>
        <w:pStyle w:val="Normal"/>
        <w:suppressAutoHyphens w:val="true"/>
        <w:spacing w:lineRule="auto" w:line="360"/>
        <w:jc w:val="both"/>
        <w:rPr>
          <w:rFonts w:ascii="CG Times" w:hAnsi="CG Times" w:cs="CG Times"/>
          <w:spacing w:val="-2"/>
          <w:sz w:val="20"/>
        </w:rPr>
      </w:pPr>
      <w:r>
        <w:rPr>
          <w:rFonts w:cs="CG Times" w:ascii="CG Times" w:hAnsi="CG Times"/>
          <w:spacing w:val="-2"/>
          <w:sz w:val="20"/>
        </w:rPr>
        <w:t>EOT Units</w:t>
        <w:tab/>
        <w:t>____________</w:t>
        <w:tab/>
        <w:tab/>
        <w:t>____________</w:t>
        <w:tab/>
        <w:tab/>
        <w:t>____________</w:t>
        <w:tab/>
        <w:tab/>
        <w:t>____________</w:t>
      </w:r>
    </w:p>
    <w:p>
      <w:pPr>
        <w:pStyle w:val="Normal"/>
        <w:suppressAutoHyphens w:val="true"/>
        <w:spacing w:lineRule="auto" w:line="360"/>
        <w:jc w:val="both"/>
        <w:rPr>
          <w:rFonts w:ascii="CG Times" w:hAnsi="CG Times" w:cs="CG Times"/>
          <w:spacing w:val="-2"/>
          <w:sz w:val="20"/>
        </w:rPr>
      </w:pPr>
      <w:r>
        <w:rPr>
          <w:rFonts w:cs="CG Times" w:ascii="CG Times" w:hAnsi="CG Times"/>
          <w:spacing w:val="-2"/>
          <w:sz w:val="20"/>
        </w:rPr>
        <w:t>TGS ADS</w:t>
        <w:tab/>
        <w:t>____________</w:t>
        <w:tab/>
        <w:tab/>
        <w:t>____________</w:t>
        <w:tab/>
        <w:tab/>
        <w:t>____________</w:t>
        <w:tab/>
        <w:tab/>
        <w:t>____________</w:t>
      </w:r>
    </w:p>
    <w:p>
      <w:pPr>
        <w:pStyle w:val="Normal"/>
        <w:suppressAutoHyphens w:val="true"/>
        <w:spacing w:lineRule="auto" w:line="360"/>
        <w:jc w:val="both"/>
        <w:rPr>
          <w:rFonts w:ascii="CG Times" w:hAnsi="CG Times" w:cs="CG Times"/>
          <w:spacing w:val="-2"/>
          <w:sz w:val="20"/>
        </w:rPr>
      </w:pPr>
      <w:r>
        <w:rPr>
          <w:rFonts w:cs="CG Times" w:ascii="CG Times" w:hAnsi="CG Times"/>
          <w:spacing w:val="-2"/>
          <w:sz w:val="20"/>
        </w:rPr>
        <w:t>PGE Preferred</w:t>
        <w:tab/>
        <w:t>____________</w:t>
        <w:tab/>
        <w:tab/>
        <w:t>____________</w:t>
        <w:tab/>
        <w:tab/>
        <w:t>____________</w:t>
        <w:tab/>
        <w:tab/>
        <w:t>____________</w:t>
      </w:r>
    </w:p>
    <w:p>
      <w:pPr>
        <w:pStyle w:val="Normal"/>
        <w:suppressAutoHyphens w:val="true"/>
        <w:spacing w:lineRule="auto" w:line="360"/>
        <w:jc w:val="both"/>
        <w:rPr>
          <w:rFonts w:ascii="CG Times" w:hAnsi="CG Times" w:cs="CG Times"/>
          <w:spacing w:val="-2"/>
          <w:sz w:val="20"/>
        </w:rPr>
      </w:pPr>
      <w:r>
        <w:rPr>
          <w:rFonts w:cs="CG Times" w:ascii="CG Times" w:hAnsi="CG Times"/>
          <w:spacing w:val="-2"/>
          <w:sz w:val="20"/>
        </w:rPr>
        <w:t>AZX Common</w:t>
        <w:tab/>
        <w:t>____________</w:t>
        <w:tab/>
        <w:tab/>
        <w:t>____________</w:t>
        <w:tab/>
        <w:tab/>
        <w:t>____________</w:t>
        <w:tab/>
        <w:tab/>
        <w:t>____________</w:t>
      </w:r>
    </w:p>
    <w:p>
      <w:pPr>
        <w:pStyle w:val="Normal"/>
        <w:suppressAutoHyphens w:val="true"/>
        <w:spacing w:lineRule="auto" w:line="360"/>
        <w:jc w:val="both"/>
        <w:rPr>
          <w:rFonts w:ascii="CG Times" w:hAnsi="CG Times" w:cs="CG Times"/>
          <w:spacing w:val="-2"/>
          <w:sz w:val="20"/>
        </w:rPr>
      </w:pPr>
      <w:r>
        <w:rPr>
          <w:rFonts w:cs="CG Times" w:ascii="CG Times" w:hAnsi="CG Times"/>
          <w:spacing w:val="-2"/>
          <w:sz w:val="20"/>
        </w:rPr>
        <w:t>NPW Common</w:t>
        <w:tab/>
        <w:t>____________</w:t>
        <w:tab/>
        <w:tab/>
        <w:t>____________</w:t>
        <w:tab/>
        <w:tab/>
        <w:t>____________</w:t>
        <w:tab/>
        <w:tab/>
        <w:t>____________</w:t>
      </w:r>
    </w:p>
    <w:p>
      <w:pPr>
        <w:pStyle w:val="Normal"/>
        <w:suppressAutoHyphens w:val="true"/>
        <w:jc w:val="both"/>
        <w:rPr>
          <w:rFonts w:ascii="CG Times" w:hAnsi="CG Times" w:cs="CG Times"/>
          <w:spacing w:val="-2"/>
          <w:sz w:val="20"/>
        </w:rPr>
      </w:pPr>
      <w:r>
        <w:rPr>
          <w:rFonts w:cs="CG Times" w:ascii="CG Times" w:hAnsi="CG Times"/>
          <w:spacing w:val="-2"/>
          <w:sz w:val="20"/>
        </w:rPr>
      </w:r>
    </w:p>
    <w:p>
      <w:pPr>
        <w:pStyle w:val="Normal"/>
        <w:suppressAutoHyphens w:val="true"/>
        <w:jc w:val="both"/>
        <w:rPr/>
      </w:pPr>
      <w:r>
        <w:rPr>
          <w:rFonts w:cs="CG Times" w:ascii="CG Times" w:hAnsi="CG Times"/>
          <w:spacing w:val="-3"/>
        </w:rPr>
        <w:tab/>
        <w:tab/>
        <w:t>(ii)</w:t>
        <w:tab/>
        <w:t xml:space="preserve">With respect to any shares or units included in the table above which I have the right to acquire on or before April 16, 2001, from conversions or exercises of options or warrants, etc. </w:t>
      </w:r>
      <w:r>
        <w:rPr>
          <w:rFonts w:cs="CG Times" w:ascii="CG Times" w:hAnsi="CG Times"/>
          <w:spacing w:val="-3"/>
          <w:u w:val="single"/>
        </w:rPr>
        <w:t>EXCLUDING</w:t>
      </w:r>
      <w:r>
        <w:rPr>
          <w:rFonts w:cs="CG Times" w:ascii="CG Times" w:hAnsi="CG Times"/>
          <w:spacing w:val="-3"/>
        </w:rPr>
        <w:t xml:space="preserve"> </w:t>
      </w:r>
      <w:r>
        <w:rPr>
          <w:rFonts w:cs="CG Times" w:ascii="CG Times" w:hAnsi="CG Times"/>
          <w:b/>
          <w:spacing w:val="-3"/>
        </w:rPr>
        <w:t>options issued pursuant to Company or subsidiary stock plans</w:t>
      </w:r>
      <w:r>
        <w:rPr>
          <w:rFonts w:cs="CG Times" w:ascii="CG Times" w:hAnsi="CG Times"/>
          <w:spacing w:val="-3"/>
        </w:rPr>
        <w:t>, I have provided the number of any such shares or units and have identified the Class as follows:</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ascii="CG Times" w:hAnsi="CG Times"/>
          <w:spacing w:val="-3"/>
        </w:rPr>
        <w:tab/>
        <w:t>(b)</w:t>
      </w:r>
      <w:r>
        <w:rPr>
          <w:rFonts w:cs="CG Times" w:ascii="CG Times" w:hAnsi="CG Times"/>
          <w:b/>
          <w:i/>
          <w:spacing w:val="-3"/>
        </w:rPr>
        <w:tab/>
        <w:t>Voting Arrangements</w:t>
      </w:r>
      <w:r>
        <w:rPr>
          <w:rFonts w:cs="CG Times" w:ascii="CG Times" w:hAnsi="CG Times"/>
          <w:spacing w:val="-3"/>
        </w:rPr>
        <w:t>.  Describe any arrangement or agreement you have with the Company or any subsidiary*, director, officer or shareholder thereof, to vote the shares or units owned by you or such director, officer or shareholder.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ascii="CG Times" w:hAnsi="CG Times"/>
          <w:spacing w:val="-3"/>
        </w:rPr>
        <w:tab/>
        <w:t>(c)</w:t>
      </w:r>
      <w:r>
        <w:rPr>
          <w:rFonts w:cs="CG Times" w:ascii="CG Times" w:hAnsi="CG Times"/>
          <w:b/>
          <w:i/>
          <w:spacing w:val="-3"/>
        </w:rPr>
        <w:tab/>
        <w:t>Five-Year Business History</w:t>
      </w:r>
      <w:r>
        <w:rPr>
          <w:rFonts w:cs="CG Times" w:ascii="CG Times" w:hAnsi="CG Times"/>
          <w:spacing w:val="-3"/>
        </w:rPr>
        <w:t>.  Attached as Appendix B is the information in last year's Form 10-K and/or Proxy Statement about your five-year business history.  If your employment or occupation has changed within the last year, please update that information.  If no information is attached as Appendix B, please provide your business history for 1996 – present including the name and principal business of each employer and whether such employer is a parent, subsidiary or other affiliate of Enron.  (When updating your age for the Proxy, please use March 23, 2001 (estimated date the Proxy will be mailed) as the cutoff date.)</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ascii="CG Times" w:hAnsi="CG Times"/>
          <w:spacing w:val="-3"/>
        </w:rPr>
        <w:tab/>
        <w:t>(d)</w:t>
      </w:r>
      <w:r>
        <w:rPr>
          <w:rFonts w:cs="CG Times" w:ascii="CG Times" w:hAnsi="CG Times"/>
          <w:b/>
          <w:i/>
          <w:spacing w:val="-3"/>
        </w:rPr>
        <w:tab/>
        <w:t>Family Relationships</w:t>
      </w:r>
      <w:r>
        <w:rPr>
          <w:rFonts w:cs="CG Times" w:ascii="CG Times" w:hAnsi="CG Times"/>
          <w:spacing w:val="-3"/>
        </w:rPr>
        <w:t>.  State the nature of any family relationship by blood, marriage or adoption between yourself and any director or officer of the Company or any subsidiary* or any person nominated or chosen by the Company to serve in any such capacity.  Relationships more remote than first cousin need not be included.</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ascii="CG Times" w:hAnsi="CG Times"/>
          <w:spacing w:val="-3"/>
        </w:rPr>
        <w:tab/>
        <w:t>(e)</w:t>
      </w:r>
      <w:r>
        <w:rPr>
          <w:rFonts w:cs="CG Times" w:ascii="CG Times" w:hAnsi="CG Times"/>
          <w:b/>
          <w:i/>
          <w:spacing w:val="-3"/>
        </w:rPr>
        <w:tab/>
        <w:t>Compensation</w:t>
      </w:r>
      <w:r>
        <w:rPr>
          <w:rFonts w:cs="CG Times" w:ascii="CG Times" w:hAnsi="CG Times"/>
          <w:spacing w:val="-3"/>
        </w:rPr>
        <w:t>.  Describe any compensation paid to you by a third party pursuant to any arrangement between the Company and any such third party.</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ascii="CG Times" w:hAnsi="CG Times"/>
          <w:spacing w:val="-3"/>
        </w:rPr>
        <w:tab/>
        <w:t>(f)</w:t>
      </w:r>
      <w:r>
        <w:rPr>
          <w:rFonts w:cs="CG Times" w:ascii="CG Times" w:hAnsi="CG Times"/>
          <w:b/>
          <w:i/>
          <w:spacing w:val="-3"/>
        </w:rPr>
        <w:tab/>
        <w:t>Compensation Committee Interlocks</w:t>
      </w:r>
      <w:r>
        <w:rPr>
          <w:rFonts w:cs="CG Times" w:ascii="CG Times" w:hAnsi="CG Times"/>
          <w:spacing w:val="-3"/>
        </w:rPr>
        <w:t>.</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b/>
        <w:tab/>
        <w:t>(i)</w:t>
        <w:tab/>
        <w:t>Did you serve during the fiscal year ended December 31, 2000 as a member of the compensation committee (or other board committee performing equivalent functions or, in the absence of any such committee, the entire board of directors) of another entity, one of whose executive officers served on the compensation committee of the Company?  If yes, please describe.</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b/>
        <w:tab/>
        <w:t>(ii)</w:t>
        <w:tab/>
        <w:t xml:space="preserve">Did you serve during the fiscal year ended December 31, 2000 as a director of another entity, one of whose executive officers served on the compensation committee of the Company?  If yes, please describe. </w:t>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b/>
        <w:tab/>
        <w:t>(iii)</w:t>
        <w:tab/>
        <w:t>Did you serve during the fiscal year ended December 31, 2000 as a member of the compensation committee (or other board committee performing equivalent functions or, in the absence of any such committee, the entire board of directors) of another entity, one of whose executive officers served as a director of the Company?  If yes, please describe.</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ascii="CG Times" w:hAnsi="CG Times"/>
          <w:spacing w:val="-3"/>
        </w:rPr>
        <w:tab/>
        <w:t>(g)</w:t>
      </w:r>
      <w:r>
        <w:rPr>
          <w:rFonts w:cs="CG Times" w:ascii="CG Times" w:hAnsi="CG Times"/>
          <w:b/>
          <w:i/>
          <w:spacing w:val="-3"/>
        </w:rPr>
        <w:tab/>
        <w:t>Transactions with the Company and its Subsidiaries*</w:t>
      </w:r>
      <w:r>
        <w:rPr>
          <w:rFonts w:cs="CG Times" w:ascii="CG Times" w:hAnsi="CG Times"/>
          <w:spacing w:val="-3"/>
        </w:rPr>
        <w:t xml:space="preserve">. </w:t>
      </w:r>
      <w:r>
        <w:rPr>
          <w:rFonts w:cs="CG Times" w:ascii="CG Times" w:hAnsi="CG Times"/>
          <w:b/>
          <w:i/>
          <w:spacing w:val="-3"/>
        </w:rPr>
        <w:t xml:space="preserve"> </w:t>
      </w:r>
      <w:r>
        <w:rPr>
          <w:rFonts w:cs="CG Times" w:ascii="CG Times" w:hAnsi="CG Times"/>
          <w:spacing w:val="-3"/>
        </w:rPr>
        <w:t xml:space="preserve">Describe briefly any transaction or series of similar transactions, since December 31, 1999, or any currently </w:t>
      </w:r>
      <w:r>
        <w:rPr>
          <w:rFonts w:cs="CG Times" w:ascii="CG Times" w:hAnsi="CG Times"/>
          <w:i/>
          <w:spacing w:val="-3"/>
        </w:rPr>
        <w:t>proposed</w:t>
      </w:r>
      <w:r>
        <w:rPr>
          <w:rFonts w:cs="CG Times" w:ascii="CG Times" w:hAnsi="CG Times"/>
          <w:spacing w:val="-3"/>
        </w:rPr>
        <w:t xml:space="preserve"> transaction, or series of similar transactions, to which the Company or any of its subsidiaries* was or is to be a party, in which the amount involved exceeds $60,000, and in which you or any member of your immediate family* had, or will have, a direct or indirect interest*.  Please include in your description of such transaction the nature of your interest in the transaction, the amount of such transaction and the amount of your interest in such transaction.</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b/>
          <w:i/>
          <w:spacing w:val="-3"/>
        </w:rPr>
        <w:tab/>
        <w:t>Please note:</w:t>
      </w:r>
    </w:p>
    <w:p>
      <w:pPr>
        <w:pStyle w:val="Normal"/>
        <w:suppressAutoHyphens w:val="true"/>
        <w:jc w:val="both"/>
        <w:rPr>
          <w:rFonts w:ascii="CG Times" w:hAnsi="CG Times" w:cs="CG Times"/>
          <w:spacing w:val="-3"/>
        </w:rPr>
      </w:pPr>
      <w:r>
        <w:rPr>
          <w:rFonts w:cs="CG Times" w:ascii="CG Times" w:hAnsi="CG Times"/>
          <w:spacing w:val="-3"/>
        </w:rPr>
      </w:r>
    </w:p>
    <w:p>
      <w:pPr>
        <w:pStyle w:val="Normal"/>
        <w:numPr>
          <w:ilvl w:val="0"/>
          <w:numId w:val="1"/>
        </w:numPr>
        <w:suppressAutoHyphens w:val="true"/>
        <w:jc w:val="both"/>
        <w:rPr>
          <w:rFonts w:ascii="CG Times" w:hAnsi="CG Times" w:cs="CG Times"/>
          <w:spacing w:val="-3"/>
        </w:rPr>
      </w:pPr>
      <w:r>
        <w:rPr>
          <w:rFonts w:cs="CG Times" w:ascii="CG Times" w:hAnsi="CG Times"/>
          <w:b/>
          <w:i/>
          <w:spacing w:val="-3"/>
        </w:rPr>
        <w:t xml:space="preserve">The “amount” of the interest of a person is to be computed without regard to the amount of the profit or loss involved in the transaction(s). </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keepNext w:val="true"/>
        <w:keepLines/>
        <w:suppressAutoHyphens w:val="true"/>
        <w:jc w:val="both"/>
        <w:rPr>
          <w:rFonts w:ascii="CG Times" w:hAnsi="CG Times" w:cs="CG Times"/>
          <w:b/>
          <w:spacing w:val="-3"/>
          <w:sz w:val="32"/>
        </w:rPr>
      </w:pPr>
      <w:r>
        <w:rPr>
          <w:rFonts w:cs="CG Times" w:ascii="CG Times" w:hAnsi="CG Times"/>
          <w:spacing w:val="-3"/>
        </w:rPr>
        <w:tab/>
        <w:t>(h)</w:t>
      </w:r>
      <w:r>
        <w:rPr>
          <w:rFonts w:cs="CG Times" w:ascii="CG Times" w:hAnsi="CG Times"/>
          <w:b/>
          <w:i/>
          <w:spacing w:val="-3"/>
        </w:rPr>
        <w:tab/>
        <w:t>Entities in Which You Are or Were a 10% Owner or Executive Officer</w:t>
      </w:r>
      <w:r>
        <w:rPr>
          <w:rFonts w:cs="CG Times" w:ascii="CG Times" w:hAnsi="CG Times"/>
          <w:spacing w:val="-3"/>
        </w:rPr>
        <w:t xml:space="preserve">, </w:t>
      </w:r>
      <w:r>
        <w:rPr>
          <w:rFonts w:cs="CG Times" w:ascii="CG Times" w:hAnsi="CG Times"/>
          <w:b/>
          <w:i/>
          <w:spacing w:val="-3"/>
        </w:rPr>
        <w:t>Partner, etc</w:t>
      </w:r>
      <w:r>
        <w:rPr>
          <w:rFonts w:cs="CG Times" w:ascii="CG Times" w:hAnsi="CG Times"/>
          <w:spacing w:val="-3"/>
        </w:rPr>
        <w:t xml:space="preserve">.  The Proxy Statement must disclose relationships between the Company and its subsidiaries and </w:t>
      </w:r>
      <w:r>
        <w:rPr>
          <w:rFonts w:cs="CG Times" w:ascii="CG Times" w:hAnsi="CG Times"/>
          <w:i/>
          <w:spacing w:val="-3"/>
        </w:rPr>
        <w:t>any business or professional entity:</w:t>
      </w:r>
    </w:p>
    <w:p>
      <w:pPr>
        <w:pStyle w:val="Normal"/>
        <w:keepNext w:val="true"/>
        <w:keepLines/>
        <w:suppressAutoHyphens w:val="true"/>
        <w:jc w:val="both"/>
        <w:rPr>
          <w:rFonts w:ascii="CG Times" w:hAnsi="CG Times" w:eastAsia="CG Times" w:cs="CG Times"/>
          <w:spacing w:val="-3"/>
        </w:rPr>
      </w:pPr>
      <w:r>
        <w:rPr>
          <w:rFonts w:eastAsia="CG Times" w:cs="CG Times" w:ascii="CG Times" w:hAnsi="CG Times"/>
          <w:spacing w:val="-3"/>
        </w:rPr>
        <w:t xml:space="preserve"> </w:t>
      </w:r>
    </w:p>
    <w:p>
      <w:pPr>
        <w:pStyle w:val="Normal"/>
        <w:keepLines/>
        <w:suppressAutoHyphens w:val="true"/>
        <w:jc w:val="both"/>
        <w:rPr>
          <w:rFonts w:ascii="CG Times" w:hAnsi="CG Times" w:cs="CG Times"/>
          <w:spacing w:val="-3"/>
        </w:rPr>
      </w:pPr>
      <w:r>
        <w:rPr>
          <w:rFonts w:cs="CG Times" w:ascii="CG Times" w:hAnsi="CG Times"/>
          <w:spacing w:val="-3"/>
        </w:rPr>
        <w:tab/>
        <w:tab/>
        <w:t>(i)</w:t>
        <w:tab/>
        <w:t xml:space="preserve">that, since December 31, 1999, made payments to, received payments from, or proposes to make to or receive payments from, the Company or any subsidiary* for property or services; </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b/>
        <w:tab/>
        <w:t>(ii)</w:t>
        <w:tab/>
        <w:t>which payments exceed 5% of such entity's consolidated gross revenues for its last full fiscal year or which entity is a law firm or an investment banking firm; and</w:t>
      </w:r>
    </w:p>
    <w:p>
      <w:pPr>
        <w:pStyle w:val="Normal"/>
        <w:suppressAutoHyphens w:val="true"/>
        <w:jc w:val="both"/>
        <w:rPr>
          <w:rFonts w:ascii="CG Times" w:hAnsi="CG Times" w:eastAsia="CG Times" w:cs="CG Times"/>
          <w:spacing w:val="-3"/>
        </w:rPr>
      </w:pPr>
      <w:r>
        <w:rPr>
          <w:rFonts w:eastAsia="CG Times" w:cs="CG Times" w:ascii="CG Times" w:hAnsi="CG Times"/>
          <w:spacing w:val="-3"/>
        </w:rPr>
        <w:t xml:space="preserve"> </w:t>
      </w:r>
    </w:p>
    <w:p>
      <w:pPr>
        <w:pStyle w:val="Normal"/>
        <w:suppressAutoHyphens w:val="true"/>
        <w:jc w:val="both"/>
        <w:rPr>
          <w:rFonts w:ascii="CG Times" w:hAnsi="CG Times" w:cs="CG Times"/>
          <w:spacing w:val="-3"/>
        </w:rPr>
      </w:pPr>
      <w:r>
        <w:rPr>
          <w:rFonts w:cs="CG Times" w:ascii="CG Times" w:hAnsi="CG Times"/>
          <w:spacing w:val="-3"/>
        </w:rPr>
        <w:tab/>
        <w:tab/>
        <w:t xml:space="preserve">(iii) </w:t>
        <w:tab/>
        <w:t>in which you are or were at any time since December 31, 1999:</w:t>
      </w:r>
    </w:p>
    <w:p>
      <w:pPr>
        <w:pStyle w:val="Normal"/>
        <w:suppressAutoHyphens w:val="true"/>
        <w:jc w:val="both"/>
        <w:rPr>
          <w:rFonts w:ascii="CG Times" w:hAnsi="CG Times" w:cs="CG Times"/>
          <w:spacing w:val="-3"/>
        </w:rPr>
      </w:pPr>
      <w:r>
        <w:rPr>
          <w:rFonts w:cs="CG Times" w:ascii="CG Times" w:hAnsi="CG Times"/>
          <w:spacing w:val="-3"/>
        </w:rPr>
      </w:r>
    </w:p>
    <w:p>
      <w:pPr>
        <w:pStyle w:val="Normal"/>
        <w:numPr>
          <w:ilvl w:val="0"/>
          <w:numId w:val="1"/>
        </w:numPr>
        <w:suppressAutoHyphens w:val="true"/>
        <w:ind w:hanging="360" w:start="2520" w:end="0"/>
        <w:jc w:val="both"/>
        <w:rPr>
          <w:rFonts w:ascii="CG Times" w:hAnsi="CG Times" w:cs="CG Times"/>
          <w:spacing w:val="-3"/>
        </w:rPr>
      </w:pPr>
      <w:r>
        <w:rPr>
          <w:rFonts w:cs="CG Times" w:ascii="CG Times" w:hAnsi="CG Times"/>
          <w:spacing w:val="-3"/>
        </w:rPr>
        <w:t xml:space="preserve">an owner of in excess of 10 percent of the equity interest; or </w:t>
      </w:r>
    </w:p>
    <w:p>
      <w:pPr>
        <w:pStyle w:val="Normal"/>
        <w:numPr>
          <w:ilvl w:val="0"/>
          <w:numId w:val="1"/>
        </w:numPr>
        <w:suppressAutoHyphens w:val="true"/>
        <w:ind w:hanging="360" w:start="2520" w:end="0"/>
        <w:jc w:val="both"/>
        <w:rPr>
          <w:rFonts w:ascii="CG Times" w:hAnsi="CG Times" w:cs="CG Times"/>
          <w:spacing w:val="-3"/>
        </w:rPr>
      </w:pPr>
      <w:r>
        <w:rPr>
          <w:rFonts w:cs="CG Times" w:ascii="CG Times" w:hAnsi="CG Times"/>
          <w:spacing w:val="-3"/>
        </w:rPr>
        <w:t xml:space="preserve">an executive officer or partner; or  </w:t>
      </w:r>
    </w:p>
    <w:p>
      <w:pPr>
        <w:pStyle w:val="Normal"/>
        <w:numPr>
          <w:ilvl w:val="0"/>
          <w:numId w:val="1"/>
        </w:numPr>
        <w:suppressAutoHyphens w:val="true"/>
        <w:ind w:hanging="360" w:start="2520" w:end="0"/>
        <w:jc w:val="both"/>
        <w:rPr>
          <w:rFonts w:ascii="CG Times" w:hAnsi="CG Times" w:cs="CG Times"/>
          <w:spacing w:val="-3"/>
        </w:rPr>
      </w:pPr>
      <w:r>
        <w:rPr>
          <w:rFonts w:cs="CG Times" w:ascii="CG Times" w:hAnsi="CG Times"/>
          <w:spacing w:val="-3"/>
        </w:rPr>
        <w:t>a member or of counsel (in the case of a law firm); or</w:t>
      </w:r>
    </w:p>
    <w:p>
      <w:pPr>
        <w:pStyle w:val="Normal"/>
        <w:numPr>
          <w:ilvl w:val="0"/>
          <w:numId w:val="1"/>
        </w:numPr>
        <w:suppressAutoHyphens w:val="true"/>
        <w:ind w:hanging="360" w:start="2520" w:end="0"/>
        <w:jc w:val="both"/>
        <w:rPr>
          <w:rFonts w:ascii="CG Times" w:hAnsi="CG Times" w:cs="CG Times"/>
          <w:spacing w:val="-3"/>
        </w:rPr>
      </w:pPr>
      <w:r>
        <w:rPr>
          <w:rFonts w:cs="CG Times" w:ascii="CG Times" w:hAnsi="CG Times"/>
          <w:spacing w:val="-3"/>
        </w:rPr>
        <w:t>a partner or executive officer (in the case of an investment banking firm).</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Please list each such entity, indicate your relationship(s) with such entity and describe generally the nature and amount of payments made and proposed to be made.</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ascii="CG Times" w:hAnsi="CG Times"/>
          <w:spacing w:val="-3"/>
        </w:rPr>
        <w:tab/>
        <w:t>(i)</w:t>
      </w:r>
      <w:r>
        <w:rPr>
          <w:rFonts w:cs="CG Times" w:ascii="CG Times" w:hAnsi="CG Times"/>
          <w:b/>
          <w:i/>
          <w:spacing w:val="-3"/>
        </w:rPr>
        <w:tab/>
        <w:t>Arrangements Regarding Election</w:t>
      </w:r>
      <w:r>
        <w:rPr>
          <w:rFonts w:cs="CG Times" w:ascii="CG Times" w:hAnsi="CG Times"/>
          <w:spacing w:val="-3"/>
        </w:rPr>
        <w:t>.  Was or is there any arrangement or understanding regarding your election as an officer or director of the Company between you and any other person or persons, except the directors and officers of the Company acting solely in that capacity?  If so, name such other person or persons and describe briefly such arrangement or understanding.</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ascii="CG Times" w:hAnsi="CG Times"/>
          <w:spacing w:val="-3"/>
        </w:rPr>
        <w:tab/>
        <w:t>(j)</w:t>
      </w:r>
      <w:r>
        <w:rPr>
          <w:rFonts w:cs="CG Times" w:ascii="CG Times" w:hAnsi="CG Times"/>
          <w:b/>
          <w:i/>
          <w:spacing w:val="-3"/>
        </w:rPr>
        <w:tab/>
        <w:t>Indebtedness to the Company or its Subsidiaries</w:t>
      </w:r>
      <w:r>
        <w:rPr>
          <w:rFonts w:cs="CG Times" w:ascii="CG Times" w:hAnsi="CG Times"/>
          <w:spacing w:val="-3"/>
        </w:rPr>
        <w:t>*.  Describe below any indebtedness to the Company and/or its subsidiaries* in excess of $60,000 owed at any time since December 31, 1999 by you, members of your immediate family*, your associates*, any corporation or organization of which you are an officer or partner or of which you are the beneficial owner* of 10% or more of any class of equity securities or any trust or other estate in which you have a substantial beneficial interest or to which you serve as trustee or in a similar capacity.  Include the largest aggregate amount of indebtedness outstanding at any time since December 31, 1999, the amount, if any, outstanding on February 15, 2001, and the rate of interest paid or charged.</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ascii="CG Times" w:hAnsi="CG Times"/>
          <w:spacing w:val="-3"/>
        </w:rPr>
        <w:tab/>
        <w:t>(k)</w:t>
      </w:r>
      <w:r>
        <w:rPr>
          <w:rFonts w:cs="CG Times" w:ascii="CG Times" w:hAnsi="CG Times"/>
          <w:b/>
          <w:i/>
          <w:spacing w:val="-3"/>
        </w:rPr>
        <w:tab/>
        <w:t>Legal Proceedings.</w:t>
      </w:r>
      <w:r>
        <w:rPr>
          <w:rFonts w:cs="CG Times" w:ascii="CG Times" w:hAnsi="CG Times"/>
          <w:spacing w:val="-3"/>
        </w:rPr>
        <w:t xml:space="preserve">  The Company must disclose any of the following events that occurred since December 31, 1995:</w:t>
      </w:r>
    </w:p>
    <w:p>
      <w:pPr>
        <w:pStyle w:val="Normal"/>
        <w:suppressAutoHyphens w:val="true"/>
        <w:jc w:val="both"/>
        <w:rPr>
          <w:rFonts w:ascii="CG Times" w:hAnsi="CG Times" w:cs="CG Times"/>
          <w:spacing w:val="-3"/>
        </w:rPr>
      </w:pPr>
      <w:r>
        <w:rPr>
          <w:rFonts w:cs="CG Times" w:ascii="CG Times" w:hAnsi="CG Times"/>
          <w:spacing w:val="-3"/>
        </w:rPr>
      </w:r>
    </w:p>
    <w:p>
      <w:pPr>
        <w:pStyle w:val="Normal"/>
        <w:numPr>
          <w:ilvl w:val="0"/>
          <w:numId w:val="1"/>
        </w:numPr>
        <w:suppressAutoHyphens w:val="true"/>
        <w:jc w:val="both"/>
        <w:rPr>
          <w:rFonts w:ascii="CG Times" w:hAnsi="CG Times" w:cs="CG Times"/>
          <w:spacing w:val="-3"/>
        </w:rPr>
      </w:pPr>
      <w:r>
        <w:rPr>
          <w:rFonts w:cs="CG Times" w:ascii="CG Times" w:hAnsi="CG Times"/>
          <w:spacing w:val="-3"/>
        </w:rPr>
        <w:t>the filing of a petition under the federal bankruptcy laws or any state insolvency law by or against, or the appointment by a court of a receiver, fiscal agent or similar agent for, your business or property, the business or property of any partnership in which you were a general partner at or within two years before the time of such filing, or the business or property of a corporation or business association of which you were an officer at or within two years before the time of such filing;</w:t>
      </w:r>
    </w:p>
    <w:p>
      <w:pPr>
        <w:pStyle w:val="Normal"/>
        <w:numPr>
          <w:ilvl w:val="0"/>
          <w:numId w:val="0"/>
        </w:numPr>
        <w:suppressAutoHyphens w:val="true"/>
        <w:ind w:hanging="360" w:start="1800" w:end="0"/>
        <w:jc w:val="both"/>
        <w:rPr>
          <w:rFonts w:ascii="CG Times" w:hAnsi="CG Times" w:cs="CG Times"/>
          <w:spacing w:val="-3"/>
        </w:rPr>
      </w:pPr>
      <w:r>
        <w:rPr>
          <w:rFonts w:cs="CG Times" w:ascii="CG Times" w:hAnsi="CG Times"/>
          <w:spacing w:val="-3"/>
        </w:rPr>
      </w:r>
    </w:p>
    <w:p>
      <w:pPr>
        <w:pStyle w:val="Normal"/>
        <w:numPr>
          <w:ilvl w:val="0"/>
          <w:numId w:val="1"/>
        </w:numPr>
        <w:suppressAutoHyphens w:val="true"/>
        <w:jc w:val="both"/>
        <w:rPr>
          <w:rFonts w:ascii="CG Times" w:hAnsi="CG Times" w:cs="CG Times"/>
          <w:spacing w:val="-3"/>
        </w:rPr>
      </w:pPr>
      <w:r>
        <w:rPr>
          <w:rFonts w:cs="CG Times" w:ascii="CG Times" w:hAnsi="CG Times"/>
          <w:spacing w:val="-3"/>
        </w:rPr>
        <w:t>any criminal convictions or pending criminal proceedings in which you are a named subject, excluding traffic violations and other minor offenses;</w:t>
      </w:r>
    </w:p>
    <w:p>
      <w:pPr>
        <w:pStyle w:val="Normal"/>
        <w:numPr>
          <w:ilvl w:val="0"/>
          <w:numId w:val="0"/>
        </w:numPr>
        <w:suppressAutoHyphens w:val="true"/>
        <w:ind w:hanging="360" w:start="1800" w:end="0"/>
        <w:jc w:val="both"/>
        <w:rPr>
          <w:rFonts w:ascii="CG Times" w:hAnsi="CG Times" w:cs="CG Times"/>
          <w:spacing w:val="-3"/>
        </w:rPr>
      </w:pPr>
      <w:r>
        <w:rPr>
          <w:rFonts w:cs="CG Times" w:ascii="CG Times" w:hAnsi="CG Times"/>
          <w:spacing w:val="-3"/>
        </w:rPr>
      </w:r>
    </w:p>
    <w:p>
      <w:pPr>
        <w:pStyle w:val="Normal"/>
        <w:numPr>
          <w:ilvl w:val="0"/>
          <w:numId w:val="1"/>
        </w:numPr>
        <w:suppressAutoHyphens w:val="true"/>
        <w:jc w:val="both"/>
        <w:rPr>
          <w:rFonts w:ascii="CG Times" w:hAnsi="CG Times" w:cs="CG Times"/>
          <w:spacing w:val="-3"/>
        </w:rPr>
      </w:pPr>
      <w:r>
        <w:rPr>
          <w:rFonts w:cs="CG Times" w:ascii="CG Times" w:hAnsi="CG Times"/>
          <w:spacing w:val="-3"/>
        </w:rPr>
        <w:t>any court order, judgment or decree, not subsequently reversed, suspended or vacated, which permanently or temporarily enjoined or otherwise limited you from (i) acting as a futures commission merchant, introducing broker, commodity trading advisor, commodity pool operator, floor broker, leverage transaction merchant, any other person regulated by the Commodity Futures Trading Commission or an associated person of any of the foregoing, or as an investment advisor, underwriter, broker or dealer in securities, or as an affiliated person, director or employee of any investment company, bank, savings and loan association or insurance company, or engaging in or continuing any conduct or practice in connection with such activities; (ii) engaging in any type of business practice; or (iii) engaging in any activity in connection with the purchase or sale of any security or in connection with any violation of federal or state securities laws or federal commodities laws;</w:t>
      </w:r>
    </w:p>
    <w:p>
      <w:pPr>
        <w:pStyle w:val="Normal"/>
        <w:numPr>
          <w:ilvl w:val="0"/>
          <w:numId w:val="0"/>
        </w:numPr>
        <w:suppressAutoHyphens w:val="true"/>
        <w:ind w:hanging="360" w:start="1800" w:end="0"/>
        <w:jc w:val="both"/>
        <w:rPr>
          <w:rFonts w:ascii="CG Times" w:hAnsi="CG Times" w:cs="CG Times"/>
          <w:spacing w:val="-3"/>
        </w:rPr>
      </w:pPr>
      <w:r>
        <w:rPr>
          <w:rFonts w:cs="CG Times" w:ascii="CG Times" w:hAnsi="CG Times"/>
          <w:spacing w:val="-3"/>
        </w:rPr>
      </w:r>
    </w:p>
    <w:p>
      <w:pPr>
        <w:pStyle w:val="Normal"/>
        <w:numPr>
          <w:ilvl w:val="0"/>
          <w:numId w:val="1"/>
        </w:numPr>
        <w:suppressAutoHyphens w:val="true"/>
        <w:jc w:val="both"/>
        <w:rPr>
          <w:rFonts w:ascii="CG Times" w:hAnsi="CG Times" w:cs="CG Times"/>
          <w:spacing w:val="-3"/>
        </w:rPr>
      </w:pPr>
      <w:r>
        <w:rPr>
          <w:rFonts w:cs="CG Times" w:ascii="CG Times" w:hAnsi="CG Times"/>
          <w:spacing w:val="-3"/>
        </w:rPr>
        <w:t>any order, judgment or decree, not subsequently reversed, suspended or vacated, of any federal or state authority barring, suspending or otherwise limiting for more than 60 days your right to engage in any of the activities described above or your right to be associated with persons engaged in any of such activities;</w:t>
      </w:r>
    </w:p>
    <w:p>
      <w:pPr>
        <w:pStyle w:val="Normal"/>
        <w:numPr>
          <w:ilvl w:val="0"/>
          <w:numId w:val="0"/>
        </w:numPr>
        <w:suppressAutoHyphens w:val="true"/>
        <w:ind w:hanging="360" w:start="1800" w:end="0"/>
        <w:jc w:val="both"/>
        <w:rPr>
          <w:rFonts w:ascii="CG Times" w:hAnsi="CG Times" w:cs="CG Times"/>
          <w:spacing w:val="-3"/>
        </w:rPr>
      </w:pPr>
      <w:r>
        <w:rPr>
          <w:rFonts w:cs="CG Times" w:ascii="CG Times" w:hAnsi="CG Times"/>
          <w:spacing w:val="-3"/>
        </w:rPr>
      </w:r>
    </w:p>
    <w:p>
      <w:pPr>
        <w:pStyle w:val="Normal"/>
        <w:numPr>
          <w:ilvl w:val="0"/>
          <w:numId w:val="1"/>
        </w:numPr>
        <w:suppressAutoHyphens w:val="true"/>
        <w:jc w:val="both"/>
        <w:rPr>
          <w:rFonts w:ascii="CG Times" w:hAnsi="CG Times" w:cs="CG Times"/>
          <w:spacing w:val="-3"/>
        </w:rPr>
      </w:pPr>
      <w:r>
        <w:rPr>
          <w:rFonts w:cs="CG Times" w:ascii="CG Times" w:hAnsi="CG Times"/>
          <w:spacing w:val="-3"/>
        </w:rPr>
        <w:t>any finding by a court in a civil action or by the Securities and Exchange Commission that you violated any federal or state securities law, where such judgment has not subsequently been reversed, suspended or vacated;</w:t>
      </w:r>
    </w:p>
    <w:p>
      <w:pPr>
        <w:pStyle w:val="Normal"/>
        <w:numPr>
          <w:ilvl w:val="0"/>
          <w:numId w:val="0"/>
        </w:numPr>
        <w:suppressAutoHyphens w:val="true"/>
        <w:ind w:hanging="360" w:start="1800" w:end="0"/>
        <w:jc w:val="both"/>
        <w:rPr>
          <w:rFonts w:ascii="CG Times" w:hAnsi="CG Times" w:cs="CG Times"/>
          <w:spacing w:val="-3"/>
        </w:rPr>
      </w:pPr>
      <w:r>
        <w:rPr>
          <w:rFonts w:cs="CG Times" w:ascii="CG Times" w:hAnsi="CG Times"/>
          <w:spacing w:val="-3"/>
        </w:rPr>
      </w:r>
    </w:p>
    <w:p>
      <w:pPr>
        <w:pStyle w:val="Normal"/>
        <w:numPr>
          <w:ilvl w:val="0"/>
          <w:numId w:val="1"/>
        </w:numPr>
        <w:suppressAutoHyphens w:val="true"/>
        <w:jc w:val="both"/>
        <w:rPr>
          <w:rFonts w:ascii="CG Times" w:hAnsi="CG Times" w:cs="CG Times"/>
          <w:spacing w:val="-3"/>
        </w:rPr>
      </w:pPr>
      <w:r>
        <w:rPr>
          <w:rFonts w:cs="CG Times" w:ascii="CG Times" w:hAnsi="CG Times"/>
          <w:spacing w:val="-3"/>
        </w:rPr>
        <w:t>any finding by a court of competent jurisdiction in a civil action or by the Commodities Futures Trading Commission that you violated any federal commodities law where such judgment has not subsequently been reversed, suspended or vacated; and</w:t>
      </w:r>
    </w:p>
    <w:p>
      <w:pPr>
        <w:pStyle w:val="Normal"/>
        <w:numPr>
          <w:ilvl w:val="0"/>
          <w:numId w:val="0"/>
        </w:numPr>
        <w:suppressAutoHyphens w:val="true"/>
        <w:ind w:hanging="360" w:start="1800" w:end="0"/>
        <w:jc w:val="both"/>
        <w:rPr>
          <w:rFonts w:ascii="CG Times" w:hAnsi="CG Times" w:cs="CG Times"/>
          <w:spacing w:val="-3"/>
        </w:rPr>
      </w:pPr>
      <w:r>
        <w:rPr>
          <w:rFonts w:cs="CG Times" w:ascii="CG Times" w:hAnsi="CG Times"/>
          <w:spacing w:val="-3"/>
        </w:rPr>
      </w:r>
    </w:p>
    <w:p>
      <w:pPr>
        <w:pStyle w:val="Normal"/>
        <w:keepLines/>
        <w:numPr>
          <w:ilvl w:val="0"/>
          <w:numId w:val="1"/>
        </w:numPr>
        <w:suppressAutoHyphens w:val="true"/>
        <w:jc w:val="both"/>
        <w:rPr>
          <w:rFonts w:ascii="CG Times" w:hAnsi="CG Times" w:cs="CG Times"/>
          <w:spacing w:val="-3"/>
        </w:rPr>
      </w:pPr>
      <w:r>
        <w:rPr>
          <w:rFonts w:cs="CG Times" w:ascii="CG Times" w:hAnsi="CG Times"/>
          <w:spacing w:val="-3"/>
        </w:rPr>
        <w:t>any pending material* legal proceeding in which you or any of your associates* is a party adverse to the Company or any subsidiary* or has a material* interest adverse to the Company or any subsidiary* and any such proceeding that you know to be contemplated by governmental authorities.</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If you are aware of any such event, please include a general description of it below.</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ascii="CG Times" w:hAnsi="CG Times"/>
          <w:spacing w:val="-3"/>
        </w:rPr>
        <w:tab/>
        <w:t>(l)</w:t>
      </w:r>
      <w:r>
        <w:rPr>
          <w:rFonts w:cs="CG Times" w:ascii="CG Times" w:hAnsi="CG Times"/>
          <w:b/>
          <w:i/>
          <w:spacing w:val="-3"/>
        </w:rPr>
        <w:tab/>
        <w:t>Relationship with NASD Member</w:t>
      </w:r>
      <w:r>
        <w:rPr>
          <w:rFonts w:cs="CG Times" w:ascii="CG Times" w:hAnsi="CG Times"/>
          <w:spacing w:val="-3"/>
        </w:rPr>
        <w:t>.  Please describe any direct or indirect interest* or affiliation you have in or with any member of the National Association of Securities Dealers, Inc. (other than a wholly-owned subsidiary of the Company).</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ascii="CG Times" w:hAnsi="CG Times"/>
          <w:spacing w:val="-3"/>
        </w:rPr>
        <w:tab/>
        <w:t>(m)</w:t>
      </w:r>
      <w:r>
        <w:rPr>
          <w:rFonts w:cs="CG Times" w:ascii="CG Times" w:hAnsi="CG Times"/>
          <w:b/>
          <w:i/>
          <w:spacing w:val="-3"/>
        </w:rPr>
        <w:tab/>
        <w:t>Reports Under Section 16 of Securities Exchange Act of 1934</w:t>
      </w:r>
      <w:r>
        <w:rPr>
          <w:rFonts w:cs="CG Times" w:ascii="CG Times" w:hAnsi="CG Times"/>
          <w:spacing w:val="-3"/>
        </w:rPr>
        <w:t>.  Please indicate whether or not you have filed all reports (</w:t>
      </w:r>
      <w:r>
        <w:rPr>
          <w:rFonts w:cs="CG Times" w:ascii="CG Times" w:hAnsi="CG Times"/>
          <w:i/>
          <w:spacing w:val="-3"/>
        </w:rPr>
        <w:t>i.e.,</w:t>
      </w:r>
      <w:r>
        <w:rPr>
          <w:rFonts w:cs="CG Times" w:ascii="CG Times" w:hAnsi="CG Times"/>
          <w:spacing w:val="-3"/>
        </w:rPr>
        <w:t xml:space="preserve"> Forms 3, 4 and 5), or amendments thereto, required to be filed by you under Section 16(a) of the Securities Exchange Act of 1934.  If you have not, please describe generally the report or amendment to be filed.</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Answer:</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N)" w:ascii="CG Times (WN)" w:hAnsi="CG Times (WN)"/>
          <w:spacing w:val="-3"/>
        </w:rPr>
        <w:tab/>
        <w:t>(n)</w:t>
      </w:r>
      <w:r>
        <w:rPr>
          <w:rFonts w:cs="CG Times (WN)" w:ascii="CG Times (WN)" w:hAnsi="CG Times (WN)"/>
          <w:b/>
          <w:i/>
          <w:spacing w:val="-3"/>
        </w:rPr>
        <w:tab/>
        <w:t>Relationships with Arthur Andersen LLP.</w:t>
      </w:r>
      <w:r>
        <w:rPr>
          <w:rFonts w:cs="CG Times (WN)" w:ascii="CG Times (WN)" w:hAnsi="CG Times (WN)"/>
          <w:spacing w:val="-3"/>
        </w:rPr>
        <w:t xml:space="preserve">  Please describe any interest or affiliation you have in or with Arthur Andersen LLP.</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rPr>
        <w:t>Answer:</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N)" w:ascii="CG Times (WN)" w:hAnsi="CG Times (WN)"/>
          <w:spacing w:val="-3"/>
        </w:rPr>
        <w:tab/>
        <w:t>(o)</w:t>
      </w:r>
      <w:r>
        <w:rPr>
          <w:rFonts w:cs="CG Times (WN)" w:ascii="CG Times (WN)" w:hAnsi="CG Times (WN)"/>
          <w:b/>
          <w:i/>
          <w:spacing w:val="-3"/>
        </w:rPr>
        <w:tab/>
        <w:t>Directorships of Public Companies</w:t>
      </w:r>
      <w:r>
        <w:rPr>
          <w:rFonts w:cs="CG Times (WN)" w:ascii="CG Times (WN)" w:hAnsi="CG Times (WN)"/>
          <w:spacing w:val="-3"/>
        </w:rPr>
        <w:t>.  If you are  director of the Company or nominee for director of the Company, please also update the information in Appendix B regarding directorships you hold in companies that file periodic reports with the Securities and Exchange Commission  (or indicate that there has been  no change).</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rPr>
        <w:t>Answer:</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b/>
        <w:t>The foregoing information is supplied by the undersigned at the request of the management of the Company for use in connection with the preparation of the Proxy Statement and the Company's Annual Report on Form 10-K for the fiscal year ended December 31, 2000 to the Securities and Exchange Commission.  Such information is correctly and completely stated to the best of the under</w:t>
        <w:softHyphen/>
        <w:t>signed's knowledge, information and belief.  The undersigned will promptly notify Rebecca Carter, P. O. Box 1188, Houston, Texas 77251-1188 (telephone: 713/853-7241) in the event any change occurs prior to March 20, 2001, which renders inaccurate or incomplete as of such date any of the infor</w:t>
        <w:softHyphen/>
        <w:t>mation given herein.</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pPr>
      <w:r>
        <w:rPr>
          <w:rFonts w:cs="CG Times" w:ascii="CG Times" w:hAnsi="CG Times"/>
          <w:spacing w:val="-3"/>
        </w:rPr>
        <w:tab/>
        <w:t xml:space="preserve">DATED:  </w:t>
      </w:r>
      <w:r>
        <w:rPr>
          <w:rFonts w:cs="CG Times" w:ascii="CG Times" w:hAnsi="CG Times"/>
          <w:spacing w:val="-3"/>
          <w:u w:val="single"/>
        </w:rPr>
        <w:t xml:space="preserve">                                                 </w:t>
      </w:r>
      <w:r>
        <w:rPr>
          <w:rFonts w:cs="CG Times" w:ascii="CG Times" w:hAnsi="CG Times"/>
          <w:spacing w:val="-3"/>
        </w:rPr>
        <w:t>, 2001.</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ab/>
        <w:tab/>
        <w:tab/>
        <w:tab/>
        <w:tab/>
        <w:tab/>
        <w:t>_____________________________________</w:t>
      </w:r>
    </w:p>
    <w:p>
      <w:pPr>
        <w:pStyle w:val="Normal"/>
        <w:suppressAutoHyphens w:val="true"/>
        <w:jc w:val="both"/>
        <w:rPr>
          <w:rFonts w:ascii="CG Times" w:hAnsi="CG Times" w:cs="CG Times"/>
          <w:spacing w:val="-3"/>
        </w:rPr>
      </w:pPr>
      <w:r>
        <w:rPr>
          <w:rFonts w:cs="CG Times" w:ascii="CG Times" w:hAnsi="CG Times"/>
          <w:spacing w:val="-3"/>
        </w:rPr>
        <w:tab/>
        <w:tab/>
        <w:tab/>
        <w:tab/>
        <w:tab/>
        <w:tab/>
        <w:t xml:space="preserve">                         Signature</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rPr>
      </w:pPr>
      <w:r>
        <w:rPr>
          <w:rFonts w:cs="CG Times" w:ascii="CG Times" w:hAnsi="CG Times"/>
          <w:spacing w:val="-3"/>
        </w:rPr>
        <w:t>ONE COMPLETED SIGNED QUESTIONNAIRE SHOULD BE SENT PROMPTLY TO:</w:t>
      </w:r>
    </w:p>
    <w:p>
      <w:pPr>
        <w:pStyle w:val="Normal"/>
        <w:suppressAutoHyphens w:val="true"/>
        <w:jc w:val="both"/>
        <w:rPr>
          <w:rFonts w:ascii="CG Times" w:hAnsi="CG Times" w:cs="CG Times"/>
          <w:spacing w:val="-3"/>
        </w:rPr>
      </w:pPr>
      <w:r>
        <w:rPr>
          <w:rFonts w:cs="CG Times" w:ascii="CG Times" w:hAnsi="CG Times"/>
          <w:spacing w:val="-3"/>
        </w:rPr>
      </w:r>
    </w:p>
    <w:p>
      <w:pPr>
        <w:pStyle w:val="Normal"/>
        <w:suppressAutoHyphens w:val="true"/>
        <w:jc w:val="both"/>
        <w:rPr>
          <w:rFonts w:ascii="CG Times" w:hAnsi="CG Times" w:cs="CG Times"/>
          <w:spacing w:val="-3"/>
          <w:u w:val="single"/>
        </w:rPr>
      </w:pPr>
      <w:r>
        <w:rPr>
          <w:rFonts w:cs="CG Times" w:ascii="CG Times" w:hAnsi="CG Times"/>
          <w:spacing w:val="-3"/>
        </w:rPr>
        <w:tab/>
        <w:t>Rebecca Carter, Senior Vice President, Board Communication and Secretary</w:t>
      </w:r>
    </w:p>
    <w:p>
      <w:pPr>
        <w:pStyle w:val="Normal"/>
        <w:suppressAutoHyphens w:val="true"/>
        <w:jc w:val="both"/>
        <w:rPr>
          <w:rFonts w:ascii="CG Times" w:hAnsi="CG Times" w:cs="CG Times"/>
          <w:spacing w:val="-3"/>
        </w:rPr>
      </w:pPr>
      <w:r>
        <w:rPr>
          <w:rFonts w:cs="CG Times" w:ascii="CG Times" w:hAnsi="CG Times"/>
          <w:spacing w:val="-3"/>
        </w:rPr>
        <w:tab/>
        <w:t>Enron Corp.</w:t>
      </w:r>
    </w:p>
    <w:p>
      <w:pPr>
        <w:pStyle w:val="Normal"/>
        <w:suppressAutoHyphens w:val="true"/>
        <w:jc w:val="both"/>
        <w:rPr>
          <w:rFonts w:ascii="CG Times" w:hAnsi="CG Times" w:cs="CG Times"/>
          <w:spacing w:val="-3"/>
        </w:rPr>
      </w:pPr>
      <w:r>
        <w:rPr>
          <w:rFonts w:cs="CG Times" w:ascii="CG Times" w:hAnsi="CG Times"/>
          <w:spacing w:val="-3"/>
        </w:rPr>
        <w:tab/>
        <w:t>P. O. Box 1188</w:t>
      </w:r>
    </w:p>
    <w:p>
      <w:pPr>
        <w:sectPr>
          <w:footerReference w:type="default" r:id="rId2"/>
          <w:type w:val="nextPage"/>
          <w:pgSz w:w="12240" w:h="15840"/>
          <w:pgMar w:left="1440" w:right="1440" w:gutter="0" w:header="0" w:top="1440" w:footer="706" w:bottom="1440"/>
          <w:pgNumType w:start="1" w:fmt="decimal"/>
          <w:formProt w:val="false"/>
          <w:textDirection w:val="lrTb"/>
          <w:docGrid w:type="default" w:linePitch="360" w:charSpace="0"/>
        </w:sectPr>
        <w:pStyle w:val="Normal"/>
        <w:suppressAutoHyphens w:val="true"/>
        <w:jc w:val="both"/>
        <w:rPr>
          <w:rFonts w:ascii="CG Times" w:hAnsi="CG Times" w:cs="CG Times"/>
          <w:spacing w:val="-3"/>
        </w:rPr>
      </w:pPr>
      <w:r>
        <w:rPr>
          <w:rFonts w:cs="CG Times" w:ascii="CG Times" w:hAnsi="CG Times"/>
          <w:spacing w:val="-3"/>
        </w:rPr>
        <w:tab/>
        <w:t>Houston, Texas  77251-1188</w:t>
      </w:r>
    </w:p>
    <w:p>
      <w:pPr>
        <w:pStyle w:val="Normal"/>
        <w:suppressAutoHyphens w:val="true"/>
        <w:jc w:val="center"/>
        <w:rPr>
          <w:rFonts w:ascii="CG Times (WN)" w:hAnsi="CG Times (WN)" w:cs="CG Times (WN)"/>
        </w:rPr>
      </w:pPr>
      <w:r>
        <w:rPr>
          <w:rFonts w:cs="CG Times (WN)" w:ascii="CG Times (WN)" w:hAnsi="CG Times (WN)"/>
        </w:rPr>
        <w:t>APPENDIX A</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center"/>
        <w:rPr>
          <w:rFonts w:ascii="CG Times (WN)" w:hAnsi="CG Times (WN)" w:cs="CG Times (WN)"/>
          <w:spacing w:val="-3"/>
        </w:rPr>
      </w:pPr>
      <w:r>
        <w:rPr>
          <w:rFonts w:cs="CG Times (WN)" w:ascii="CG Times (WN)" w:hAnsi="CG Times (WN)"/>
          <w:spacing w:val="-3"/>
          <w:u w:val="single"/>
        </w:rPr>
        <w:t xml:space="preserve">Certain Terms Used in Questionnaire </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u w:val="single"/>
        </w:rPr>
        <w:t>Associate</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rPr>
        <w:tab/>
        <w:t>The term "associate," used to indicate a relation</w:t>
        <w:softHyphen/>
        <w:t>ship with any person, is defined in Rule 14a-1 promulgated by the Securities and Exchange Commission under the Securi</w:t>
        <w:softHyphen/>
        <w:t>ties Exchange Act of 1934 to mean:</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eastAsia="CG Times (WN)" w:cs="CG Times (WN)" w:ascii="CG Times (WN)" w:hAnsi="CG Times (WN)"/>
          <w:spacing w:val="-3"/>
        </w:rPr>
        <w:t xml:space="preserve">          </w:t>
      </w:r>
      <w:r>
        <w:rPr>
          <w:rFonts w:cs="CG Times (WN)" w:ascii="CG Times (WN)" w:hAnsi="CG Times (WN)"/>
          <w:spacing w:val="-3"/>
        </w:rPr>
        <w:t>(1)  any corporation or organization (other than the Company or any subsidiary*) of which you are an officer or partner;</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eastAsia="CG Times (WN)" w:cs="CG Times (WN)" w:ascii="CG Times (WN)" w:hAnsi="CG Times (WN)"/>
          <w:spacing w:val="-3"/>
        </w:rPr>
        <w:t xml:space="preserve">          </w:t>
      </w:r>
      <w:r>
        <w:rPr>
          <w:rFonts w:cs="CG Times (WN)" w:ascii="CG Times (WN)" w:hAnsi="CG Times (WN)"/>
          <w:spacing w:val="-3"/>
        </w:rPr>
        <w:t>(2)  any corporation or organization (other than the Company or any subsidiary*) of which you are, directly or indirectly*, the beneficial* owner of 10% or more of any class of equity securities;</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eastAsia="CG Times (WN)" w:cs="CG Times (WN)" w:ascii="CG Times (WN)" w:hAnsi="CG Times (WN)"/>
          <w:spacing w:val="-3"/>
        </w:rPr>
        <w:t xml:space="preserve">          </w:t>
      </w:r>
      <w:r>
        <w:rPr>
          <w:rFonts w:cs="CG Times (WN)" w:ascii="CG Times (WN)" w:hAnsi="CG Times (WN)"/>
          <w:spacing w:val="-3"/>
        </w:rPr>
        <w:t>(3)  any trust or other estate in which you have a substantial beneficial interest or as to which you serve as trustee or in a similar capacity; and</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eastAsia="CG Times (WN)" w:cs="CG Times (WN)" w:ascii="CG Times (WN)" w:hAnsi="CG Times (WN)"/>
          <w:spacing w:val="-3"/>
        </w:rPr>
        <w:t xml:space="preserve">          </w:t>
      </w:r>
      <w:r>
        <w:rPr>
          <w:rFonts w:cs="CG Times (WN)" w:ascii="CG Times (WN)" w:hAnsi="CG Times (WN)"/>
          <w:spacing w:val="-3"/>
        </w:rPr>
        <w:t>(4)  your spouse or any relative of yours, or any relative of your spouse, who has the same home as you or who is a director or officer of the Company or any subsi</w:t>
        <w:softHyphen/>
        <w:t>diary*.</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u w:val="single"/>
        </w:rPr>
        <w:t>Beneficial Ownership</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pPr>
      <w:r>
        <w:rPr>
          <w:rFonts w:eastAsia="CG Times (WN)" w:cs="CG Times (WN)" w:ascii="CG Times (WN)" w:hAnsi="CG Times (WN)"/>
          <w:spacing w:val="-3"/>
        </w:rPr>
        <w:t xml:space="preserve">          </w:t>
      </w:r>
      <w:r>
        <w:rPr>
          <w:rFonts w:cs="CG Times (WN)" w:ascii="CG Times (WN)" w:hAnsi="CG Times (WN)"/>
          <w:spacing w:val="-3"/>
        </w:rPr>
        <w:t>Rule 13d-3 promulgated by the Securities and Exchange Commission under the Securities Exchange Act of 1934 establishes certain criteria for determining bene</w:t>
        <w:softHyphen/>
        <w:t xml:space="preserve">ficial ownership of securities.  Under such Rule, a person is regarded as the beneficial owner of securities if such person presently, directly or indirectly, has or shares or has the right to acquire </w:t>
      </w:r>
      <w:r>
        <w:rPr>
          <w:rFonts w:cs="CG Times (WN)" w:ascii="CG Times (WN)" w:hAnsi="CG Times (WN)"/>
          <w:spacing w:val="-3"/>
          <w:u w:val="single"/>
        </w:rPr>
        <w:t>within 60 days</w:t>
      </w:r>
      <w:r>
        <w:rPr>
          <w:rFonts w:cs="CG Times (WN)" w:ascii="CG Times (WN)" w:hAnsi="CG Times (WN)"/>
          <w:spacing w:val="-3"/>
        </w:rPr>
        <w:t>, (i) voting power which includes the power to vote, or to direct the voting of, such securities, or (ii) investment power which includes the power to dispose of, or to direct the disposi</w:t>
        <w:softHyphen/>
        <w:t>tion of, such securities.</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pPr>
      <w:r>
        <w:rPr>
          <w:rFonts w:eastAsia="CG Times (WN)" w:cs="CG Times (WN)" w:ascii="CG Times (WN)" w:hAnsi="CG Times (WN)"/>
          <w:spacing w:val="-3"/>
        </w:rPr>
        <w:t xml:space="preserve">          </w:t>
      </w:r>
      <w:r>
        <w:rPr>
          <w:rFonts w:cs="CG Times (WN)" w:ascii="CG Times (WN)" w:hAnsi="CG Times (WN)"/>
          <w:spacing w:val="-3"/>
        </w:rPr>
        <w:t>Voting power and investment power are deemed to exist even if shared with others.  The right to acquire may arise from, among other things, (a) the exercise of any option, warrant or right, (b) the conversion of a security, (c) the existence of power to revoke a trust, discretionary account or similar arrangement or (d) the automatic termina</w:t>
        <w:softHyphen/>
        <w:t>tion of a trust, discretionary account or similar arrange</w:t>
        <w:softHyphen/>
        <w:t>ment.  Further, a person who acquires a power specified in clauses (a), (b) or (c) above in connection with any trans</w:t>
        <w:softHyphen/>
        <w:t>action having the purpose or effect of changing or influenc</w:t>
        <w:softHyphen/>
        <w:t xml:space="preserve">ing the control of the issuer is deemed to be the beneficial owner of the securities </w:t>
      </w:r>
      <w:r>
        <w:rPr>
          <w:rFonts w:cs="CG Times (WN)" w:ascii="CG Times (WN)" w:hAnsi="CG Times (WN)"/>
          <w:spacing w:val="-3"/>
          <w:u w:val="single"/>
        </w:rPr>
        <w:t>immediately</w:t>
      </w:r>
      <w:r>
        <w:rPr>
          <w:rFonts w:cs="CG Times (WN)" w:ascii="CG Times (WN)" w:hAnsi="CG Times (WN)"/>
          <w:spacing w:val="-3"/>
        </w:rPr>
        <w:t xml:space="preserve"> upon acquisition of such power, regardless of when such power may take effect.</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eastAsia="CG Times (WN)" w:cs="CG Times (WN)" w:ascii="CG Times (WN)" w:hAnsi="CG Times (WN)"/>
          <w:spacing w:val="-3"/>
        </w:rPr>
        <w:t xml:space="preserve">          </w:t>
      </w:r>
      <w:r>
        <w:rPr>
          <w:rFonts w:cs="CG Times (WN)" w:ascii="CG Times (WN)" w:hAnsi="CG Times (WN)"/>
          <w:spacing w:val="-3"/>
        </w:rPr>
        <w:t>You should be aware of the strong historical pre</w:t>
        <w:softHyphen/>
        <w:t>sumption of beneficial ownership of securities held by a person for such person's own benefit (regardless of how registered) and securities held by others for his benefit (regardless of how registered), such as by custodians, brokers, nominees, pledgees, etc.  Absent special circum</w:t>
        <w:softHyphen/>
        <w:t>stances, a person has been presumed to be the beneficial owner of securities held in the name of such person's spouse and minor children or in the name of a relative living in such person's house, held by an estate or trust in which such person has an interest as legatee or beneficiary, owned by a partnership of which such person is a partner, or held by a personal holding company of which such person is a stock</w:t>
        <w:softHyphen/>
        <w:t>holder, etc.</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eastAsia="CG Times (WN)" w:cs="CG Times (WN)" w:ascii="CG Times (WN)" w:hAnsi="CG Times (WN)"/>
          <w:spacing w:val="-3"/>
        </w:rPr>
        <w:t xml:space="preserve">          </w:t>
      </w:r>
      <w:r>
        <w:rPr>
          <w:rFonts w:cs="CG Times (WN)" w:ascii="CG Times (WN)" w:hAnsi="CG Times (WN)"/>
          <w:spacing w:val="-3"/>
        </w:rPr>
        <w:t>All securities of the same class beneficially owned by a person, regardless of the form which such bene</w:t>
        <w:softHyphen/>
        <w:t>ficial ownership takes, must be aggregated in calculating the number of shares beneficially owned by such person.</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eastAsia="CG Times (WN)" w:cs="CG Times (WN)" w:ascii="CG Times (WN)" w:hAnsi="CG Times (WN)"/>
          <w:spacing w:val="-3"/>
        </w:rPr>
        <w:t xml:space="preserve">          </w:t>
      </w:r>
      <w:r>
        <w:rPr>
          <w:rFonts w:cs="CG Times (WN)" w:ascii="CG Times (WN)" w:hAnsi="CG Times (WN)"/>
          <w:spacing w:val="-3"/>
        </w:rPr>
        <w:t>A number of exceptions to the foregoing exist for members of national securities exchanges, pledgees under written pledge agreements and underwriters.  If you are not sure whether an exception applies to you, the Company's legal department will be glad to assist you.</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u w:val="single"/>
        </w:rPr>
        <w:t>Immediate Family</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eastAsia="CG Times (WN)" w:cs="CG Times (WN)" w:ascii="CG Times (WN)" w:hAnsi="CG Times (WN)"/>
          <w:spacing w:val="-3"/>
        </w:rPr>
        <w:t xml:space="preserve">          </w:t>
      </w:r>
      <w:r>
        <w:rPr>
          <w:rFonts w:cs="CG Times (WN)" w:ascii="CG Times (WN)" w:hAnsi="CG Times (WN)"/>
          <w:spacing w:val="-3"/>
        </w:rPr>
        <w:t>The term "immediate family" is defined in the Instructions to Paragraph (a) of Item 404 of Regulation S-K promulgated by the Securities and Exchange Commission under the Securities Act of 1933 to include a person's spouse, parents, children, siblings, mothers and fathers-in-law, sons and daughters-in-law, and brothers and sisters-in-law.</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u w:val="single"/>
        </w:rPr>
        <w:t>Indirect Interest in a Transaction</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eastAsia="CG Times (WN)" w:cs="CG Times (WN)" w:ascii="CG Times (WN)" w:hAnsi="CG Times (WN)"/>
          <w:spacing w:val="-3"/>
        </w:rPr>
        <w:t xml:space="preserve">          </w:t>
      </w:r>
      <w:r>
        <w:rPr>
          <w:rFonts w:cs="CG Times (WN)" w:ascii="CG Times (WN)" w:hAnsi="CG Times (WN)"/>
          <w:spacing w:val="-3"/>
        </w:rPr>
        <w:t>An "indirect interest in a transaction" on the part of a person may result from a position or relation</w:t>
        <w:softHyphen/>
        <w:t>ship with or interest in a firm, corporation or other entity which engages in the transaction, except where the position or relationship arises only from (i) a position as a director of a corporation or other organization (other than a partnership), (ii) the direct or indirect ownership* on the part of such person and all directors and officers of the Company, all nominees for election as a director, all holders of record or beneficially* of 10% or more of the outstanding voting securities of the Company and all associates* of such persons, in the aggregate, of less than a 10% equity interest in such firm, corporation or other entity or (iii) both such position and ownership.</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u w:val="single"/>
        </w:rPr>
        <w:t>Indirect Ownership</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eastAsia="CG Times (WN)" w:cs="CG Times (WN)" w:ascii="CG Times (WN)" w:hAnsi="CG Times (WN)"/>
          <w:spacing w:val="-3"/>
        </w:rPr>
        <w:t xml:space="preserve">          </w:t>
      </w:r>
      <w:r>
        <w:rPr>
          <w:rFonts w:cs="CG Times (WN)" w:ascii="CG Times (WN)" w:hAnsi="CG Times (WN)"/>
          <w:spacing w:val="-3"/>
        </w:rPr>
        <w:t>If a person has a pecuniary interest*, by reason of any contract, understanding or relationship (including a family relationship or arrangement) in securities held in the name of another person, that person is an indirect beneficial owner of those securities.</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u w:val="single"/>
        </w:rPr>
        <w:t>Investment Power</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eastAsia="CG Times (WN)" w:cs="CG Times (WN)" w:ascii="CG Times (WN)" w:hAnsi="CG Times (WN)"/>
          <w:spacing w:val="-3"/>
        </w:rPr>
        <w:t xml:space="preserve">          </w:t>
      </w:r>
      <w:r>
        <w:rPr>
          <w:rFonts w:cs="CG Times (WN)" w:ascii="CG Times (WN)" w:hAnsi="CG Times (WN)"/>
          <w:spacing w:val="-3"/>
        </w:rPr>
        <w:t>The term "investment power," with regard to any security, is defined in Rule 13d-3 under the Securities Exchange Act of 1934 to include the power to dispose, or to direct the disposition, of such security.</w:t>
      </w:r>
    </w:p>
    <w:p>
      <w:pPr>
        <w:pStyle w:val="Normal"/>
        <w:suppressAutoHyphens w:val="true"/>
        <w:jc w:val="both"/>
        <w:rPr>
          <w:rFonts w:ascii="CG Times (WN)" w:hAnsi="CG Times (WN)" w:cs="CG Times (WN)"/>
          <w:spacing w:val="-3"/>
          <w:u w:val="single"/>
        </w:rPr>
      </w:pPr>
      <w:r>
        <w:rPr>
          <w:rFonts w:cs="CG Times (WN)" w:ascii="CG Times (WN)" w:hAnsi="CG Times (WN)"/>
          <w:spacing w:val="-3"/>
          <w:u w:val="single"/>
        </w:rPr>
      </w:r>
    </w:p>
    <w:p>
      <w:pPr>
        <w:pStyle w:val="Normal"/>
        <w:suppressAutoHyphens w:val="true"/>
        <w:jc w:val="both"/>
        <w:rPr>
          <w:rFonts w:ascii="CG Times (WN)" w:hAnsi="CG Times (WN)" w:cs="CG Times (WN)"/>
          <w:spacing w:val="-3"/>
          <w:u w:val="single"/>
        </w:rPr>
      </w:pPr>
      <w:r>
        <w:rPr>
          <w:rFonts w:cs="CG Times (WN)" w:ascii="CG Times (WN)" w:hAnsi="CG Times (WN)"/>
          <w:spacing w:val="-3"/>
          <w:u w:val="single"/>
        </w:rPr>
      </w:r>
    </w:p>
    <w:p>
      <w:pPr>
        <w:pStyle w:val="Normal"/>
        <w:suppressAutoHyphens w:val="true"/>
        <w:jc w:val="both"/>
        <w:rPr>
          <w:rFonts w:ascii="CG Times (WN)" w:hAnsi="CG Times (WN)" w:cs="CG Times (WN)"/>
          <w:spacing w:val="-3"/>
          <w:u w:val="single"/>
        </w:rPr>
      </w:pPr>
      <w:r>
        <w:rPr>
          <w:rFonts w:cs="CG Times (WN)" w:ascii="CG Times (WN)" w:hAnsi="CG Times (WN)"/>
          <w:spacing w:val="-3"/>
          <w:u w:val="single"/>
        </w:rPr>
      </w:r>
    </w:p>
    <w:p>
      <w:pPr>
        <w:pStyle w:val="Normal"/>
        <w:suppressAutoHyphens w:val="true"/>
        <w:jc w:val="both"/>
        <w:rPr>
          <w:rFonts w:ascii="CG Times (WN)" w:hAnsi="CG Times (WN)" w:cs="CG Times (WN)"/>
          <w:spacing w:val="-3"/>
        </w:rPr>
      </w:pPr>
      <w:r>
        <w:rPr>
          <w:rFonts w:cs="CG Times (WN)" w:ascii="CG Times (WN)" w:hAnsi="CG Times (WN)"/>
          <w:spacing w:val="-3"/>
          <w:u w:val="single"/>
        </w:rPr>
        <w:t>Material</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eastAsia="CG Times (WN)" w:cs="CG Times (WN)" w:ascii="CG Times (WN)" w:hAnsi="CG Times (WN)"/>
          <w:spacing w:val="-3"/>
        </w:rPr>
        <w:t xml:space="preserve">          </w:t>
      </w:r>
      <w:r>
        <w:rPr>
          <w:rFonts w:cs="CG Times (WN)" w:ascii="CG Times (WN)" w:hAnsi="CG Times (WN)"/>
          <w:spacing w:val="-3"/>
        </w:rPr>
        <w:t>As defined by Rule 405 promulgated by the Securities and Exchange Commission under the Securities Act of 1933, the term "material,"</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ind w:hanging="720" w:start="720" w:end="720"/>
        <w:jc w:val="both"/>
        <w:rPr>
          <w:rFonts w:ascii="CG Times (WN)" w:hAnsi="CG Times (WN)" w:cs="CG Times (WN)"/>
          <w:spacing w:val="-3"/>
        </w:rPr>
      </w:pPr>
      <w:r>
        <w:rPr>
          <w:rFonts w:cs="CG Times (WN)" w:ascii="CG Times (WN)" w:hAnsi="CG Times (WN)"/>
          <w:spacing w:val="-3"/>
        </w:rPr>
        <w:tab/>
        <w:t>"when used to qualify a requirement for the furnishing of information as to any subject, limits the information required to those matters as to which an average prudent investor ought reasonably to be informed before purchasing the security registered."</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u w:val="single"/>
        </w:rPr>
        <w:t>Pecuniary Interest</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rPr>
        <w:tab/>
        <w:tab/>
        <w:t>You have a "pecuniary interest" in the securities if you have or share the opportunity, directly or indirectly, to profit or share in any profit derived from a transaction in the securities.</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u w:val="single"/>
        </w:rPr>
        <w:t>Subsidiary</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eastAsia="CG Times (WN)" w:cs="CG Times (WN)" w:ascii="CG Times (WN)" w:hAnsi="CG Times (WN)"/>
          <w:spacing w:val="-3"/>
        </w:rPr>
        <w:t xml:space="preserve">          </w:t>
      </w:r>
      <w:r>
        <w:rPr>
          <w:rFonts w:cs="CG Times (WN)" w:ascii="CG Times (WN)" w:hAnsi="CG Times (WN)"/>
          <w:spacing w:val="-3"/>
        </w:rPr>
        <w:t xml:space="preserve">As defined by Rule 405, a "subsidiary" is a corporation or other entity which is directly controlled by the Company or indirectly controlled by the Company through one or more intermediaries.  </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Normal"/>
        <w:suppressAutoHyphens w:val="true"/>
        <w:jc w:val="both"/>
        <w:rPr>
          <w:rFonts w:ascii="CG Times (WN)" w:hAnsi="CG Times (WN)" w:cs="CG Times (WN)"/>
          <w:spacing w:val="-3"/>
        </w:rPr>
      </w:pPr>
      <w:r>
        <w:rPr>
          <w:rFonts w:cs="CG Times (WN)" w:ascii="CG Times (WN)" w:hAnsi="CG Times (WN)"/>
          <w:spacing w:val="-3"/>
          <w:u w:val="single"/>
        </w:rPr>
        <w:t>Voting Power</w:t>
      </w:r>
    </w:p>
    <w:p>
      <w:pPr>
        <w:pStyle w:val="Normal"/>
        <w:suppressAutoHyphens w:val="true"/>
        <w:jc w:val="both"/>
        <w:rPr>
          <w:rFonts w:ascii="CG Times (WN)" w:hAnsi="CG Times (WN)" w:cs="CG Times (WN)"/>
          <w:spacing w:val="-3"/>
        </w:rPr>
      </w:pPr>
      <w:r>
        <w:rPr>
          <w:rFonts w:cs="CG Times (WN)" w:ascii="CG Times (WN)" w:hAnsi="CG Times (WN)"/>
          <w:spacing w:val="-3"/>
        </w:rPr>
      </w:r>
    </w:p>
    <w:p>
      <w:pPr>
        <w:pStyle w:val="BodyText2"/>
        <w:rPr/>
      </w:pPr>
      <w:r>
        <w:rPr>
          <w:rFonts w:eastAsia="CG Times (WN)"/>
        </w:rPr>
        <w:t xml:space="preserve">          </w:t>
      </w:r>
      <w:r>
        <w:rPr/>
        <w:t>The term "voting power," with regard to any security, is defined in Rule 13d-3 under the Securities Exchange Act of 1934 to include the power to vote, or to direct the voting of, such security.</w:t>
      </w:r>
    </w:p>
    <w:p>
      <w:pPr>
        <w:pStyle w:val="Normal"/>
        <w:suppressAutoHyphens w:val="true"/>
        <w:jc w:val="both"/>
        <w:rPr>
          <w:rFonts w:ascii="CG Times (WN)" w:hAnsi="CG Times (WN)" w:cs="CG Times (WN)"/>
          <w:spacing w:val="-3"/>
        </w:rPr>
      </w:pPr>
      <w:r>
        <w:rPr>
          <w:rFonts w:cs="CG Times (WN)" w:ascii="CG Times (WN)" w:hAnsi="CG Times (WN)"/>
          <w:spacing w:val="-3"/>
        </w:rPr>
      </w:r>
    </w:p>
    <w:p>
      <w:pPr>
        <w:sectPr>
          <w:footerReference w:type="default" r:id="rId3"/>
          <w:footerReference w:type="first" r:id="rId4"/>
          <w:type w:val="nextPage"/>
          <w:pgSz w:w="12240" w:h="15840"/>
          <w:pgMar w:left="1440" w:right="1440" w:gutter="0" w:header="0" w:top="1440" w:footer="706" w:bottom="1440"/>
          <w:pgNumType w:start="1" w:fmt="decimal"/>
          <w:formProt w:val="false"/>
          <w:textDirection w:val="lrTb"/>
          <w:docGrid w:type="default" w:linePitch="360" w:charSpace="0"/>
        </w:sectPr>
        <w:pStyle w:val="Normal"/>
        <w:suppressAutoHyphens w:val="true"/>
        <w:jc w:val="both"/>
        <w:rPr>
          <w:rFonts w:ascii="CG Times (WN)" w:hAnsi="CG Times (WN)" w:cs="CG Times (WN)"/>
          <w:spacing w:val="-3"/>
        </w:rPr>
      </w:pPr>
      <w:r>
        <w:rPr>
          <w:rFonts w:cs="CG Times (WN)" w:ascii="CG Times (WN)" w:hAnsi="CG Times (WN)"/>
          <w:spacing w:val="-3"/>
        </w:rPr>
      </w:r>
    </w:p>
    <w:p>
      <w:pPr>
        <w:pStyle w:val="Normal"/>
        <w:autoSpaceDE w:val="false"/>
        <w:spacing w:lineRule="atLeast" w:line="240"/>
        <w:rPr>
          <w:rFonts w:ascii="Tms Rmn;Times New Roman" w:hAnsi="Tms Rmn;Times New Roman" w:cs="Tms Rmn;Times New Roman"/>
          <w:spacing w:val="-3"/>
          <w:sz w:val="20"/>
          <w:szCs w:val="24"/>
        </w:rPr>
      </w:pPr>
      <w:r>
        <w:rPr>
          <w:rFonts w:cs="Tms Rmn;Times New Roman" w:ascii="Tms Rmn;Times New Roman" w:hAnsi="Tms Rmn;Times New Roman"/>
          <w:spacing w:val="-3"/>
          <w:sz w:val="20"/>
          <w:szCs w:val="24"/>
        </w:rPr>
      </w:r>
    </w:p>
    <w:p>
      <w:pPr>
        <w:pStyle w:val="Normal"/>
        <w:tabs>
          <w:tab w:val="clear" w:pos="720"/>
          <w:tab w:val="left" w:pos="3168" w:leader="none"/>
        </w:tabs>
        <w:suppressAutoHyphens w:val="true"/>
        <w:ind w:hanging="3168" w:start="3168" w:end="0"/>
        <w:jc w:val="both"/>
        <w:rPr>
          <w:rFonts w:ascii="CG Times" w:hAnsi="CG Times" w:cs="CG Times"/>
          <w:b/>
          <w:spacing w:val="-2"/>
        </w:rPr>
      </w:pPr>
      <w:r>
        <w:rPr>
          <w:rFonts w:cs="CG Times" w:ascii="CG Times" w:hAnsi="CG Times"/>
          <w:spacing w:val="-2"/>
        </w:rPr>
        <w:t>Richard B. Buy (47)</w:t>
        <w:tab/>
        <w:t>Executive Vice President and Chief Risk Officer, Enron Corp., since July 1999.  Senior Vice President and Chief Risk Officer, Enron Corp., from March 1999 until July 1999.  Managing Director and Chief Risk Officer, ECT, from January 1998 to March 1999.  Vice President and Chief Credit Officer, ECT, from August 1995 to January 1998.</w:t>
      </w:r>
    </w:p>
    <w:p>
      <w:pPr>
        <w:pStyle w:val="Normal"/>
        <w:autoSpaceDE w:val="false"/>
        <w:spacing w:lineRule="atLeast" w:line="240"/>
        <w:rPr>
          <w:rFonts w:ascii="CG Times" w:hAnsi="CG Times" w:cs="CG Times"/>
          <w:b/>
          <w:spacing w:val="-2"/>
          <w:szCs w:val="24"/>
        </w:rPr>
      </w:pPr>
      <w:r>
        <w:rPr>
          <w:rFonts w:cs="CG Times" w:ascii="CG Times" w:hAnsi="CG Times"/>
          <w:b/>
          <w:spacing w:val="-2"/>
          <w:szCs w:val="24"/>
        </w:rPr>
      </w:r>
    </w:p>
    <w:sectPr>
      <w:footerReference w:type="default" r:id="rId5"/>
      <w:footerReference w:type="first" r:id="rId6"/>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Dutch 801 Roman">
    <w:altName w:val="Times New Roman"/>
    <w:charset w:val="00" w:characterSet="windows-1252"/>
    <w:family w:val="roman"/>
    <w:pitch w:val="default"/>
  </w:font>
  <w:font w:name="Liberation Sans">
    <w:altName w:val="Arial"/>
    <w:charset w:val="01" w:characterSet="utf-8"/>
    <w:family w:val="swiss"/>
    <w:pitch w:val="variable"/>
  </w:font>
  <w:font w:name="CG Times">
    <w:charset w:val="00" w:characterSet="windows-1252"/>
    <w:family w:val="roman"/>
    <w:pitch w:val="variable"/>
  </w:font>
  <w:font w:name="Courier New">
    <w:charset w:val="00" w:characterSet="windows-1252"/>
    <w:family w:val="modern"/>
    <w:pitch w:val="default"/>
  </w:font>
  <w:font w:name="CG Times (W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rPr/>
    </w:pPr>
    <w:r>
      <w:rPr>
        <w:rStyle w:val="PageNumber"/>
      </w:rPr>
      <w:t>__________________________</w:t>
    </w:r>
  </w:p>
  <w:p>
    <w:pPr>
      <w:pStyle w:val="Footer"/>
      <w:rPr/>
    </w:pPr>
    <w:r>
      <w:rPr/>
      <w:t>*See Appendix A for definition</w:t>
    </w:r>
  </w:p>
  <w:p>
    <w:pPr>
      <w:pStyle w:val="Footer"/>
      <w:rPr>
        <w:sz w:val="16"/>
      </w:rPr>
    </w:pPr>
    <w:r>
      <w:rPr>
        <w:sz w:val="16"/>
      </w:rPr>
      <w:t>EnronQuest2001.doc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360"/>
        </w:tabs>
        <w:ind w:start="1800" w:hanging="360"/>
      </w:pPr>
      <w:rPr>
        <w:rFonts w:ascii="Symbol" w:hAnsi="Symbol" w:cs="Symbol" w:hint="default"/>
        <w:sz w:val="28"/>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Dutch 801 Roman;Times New Roman" w:hAnsi="Dutch 801 Roman;Times New Roman" w:eastAsia="Times New Roman" w:cs="Dutch 801 Roman;Times New Roman"/>
      <w:color w:val="auto"/>
      <w:sz w:val="24"/>
      <w:szCs w:val="20"/>
      <w:lang w:val="en-US" w:bidi="ar-SA" w:eastAsia="zh-CN"/>
    </w:rPr>
  </w:style>
  <w:style w:type="character" w:styleId="WW8NumSt1z0">
    <w:name w:val="WW8NumSt1z0"/>
    <w:qFormat/>
    <w:rPr>
      <w:rFonts w:ascii="Symbol" w:hAnsi="Symbol" w:cs="Symbol"/>
      <w:sz w:val="28"/>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Dutch 801 Roman;Times New Roman" w:hAnsi="Dutch 801 Roman;Times New Roman" w:cs="Dutch 801 Roman;Times New Roman"/>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Dutch 801 Roman;Times New Roman" w:hAnsi="Dutch 801 Roman;Times New Roman" w:cs="Dutch 801 Roman;Times New Roman"/>
      <w:sz w:val="24"/>
      <w:lang w:val="en-US"/>
    </w:rPr>
  </w:style>
  <w:style w:type="character" w:styleId="DocInit">
    <w:name w:val="Doc Init"/>
    <w:basedOn w:val="DefaultParagraphFont"/>
    <w:qFormat/>
    <w:rPr/>
  </w:style>
  <w:style w:type="character" w:styleId="TechInit">
    <w:name w:val="Tech Init"/>
    <w:basedOn w:val="DefaultParagraphFont"/>
    <w:qFormat/>
    <w:rPr>
      <w:rFonts w:ascii="Dutch 801 Roman;Times New Roman" w:hAnsi="Dutch 801 Roman;Times New Roman" w:cs="Dutch 801 Roman;Times New Roman"/>
      <w:sz w:val="24"/>
      <w:lang w:val="en-US"/>
    </w:rPr>
  </w:style>
  <w:style w:type="character" w:styleId="Technical2">
    <w:name w:val="Technical 2"/>
    <w:basedOn w:val="DefaultParagraphFont"/>
    <w:qFormat/>
    <w:rPr>
      <w:rFonts w:ascii="Dutch 801 Roman;Times New Roman" w:hAnsi="Dutch 801 Roman;Times New Roman" w:cs="Dutch 801 Roman;Times New Roman"/>
      <w:sz w:val="24"/>
      <w:lang w:val="en-US"/>
    </w:rPr>
  </w:style>
  <w:style w:type="character" w:styleId="Technical3">
    <w:name w:val="Technical 3"/>
    <w:basedOn w:val="DefaultParagraphFont"/>
    <w:qFormat/>
    <w:rPr>
      <w:rFonts w:ascii="Dutch 801 Roman;Times New Roman" w:hAnsi="Dutch 801 Roman;Times New Roman" w:cs="Dutch 801 Roman;Times New Roman"/>
      <w:sz w:val="24"/>
      <w:lang w:val="en-US"/>
    </w:rPr>
  </w:style>
  <w:style w:type="character" w:styleId="Technical1">
    <w:name w:val="Technical 1"/>
    <w:basedOn w:val="DefaultParagraphFont"/>
    <w:qFormat/>
    <w:rPr>
      <w:rFonts w:ascii="Dutch 801 Roman;Times New Roman" w:hAnsi="Dutch 801 Roman;Times New Roman" w:cs="Dutch 801 Roman;Times New Roman"/>
      <w:sz w:val="24"/>
      <w:lang w:val="en-US"/>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uppressAutoHyphens w:val="true"/>
      <w:jc w:val="both"/>
    </w:pPr>
    <w:rPr>
      <w:rFonts w:ascii="CG Times" w:hAnsi="CG Times" w:cs="CG Times"/>
      <w:b/>
      <w:i/>
      <w:spacing w:val="-3"/>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Dutch 801 Roman;Times New Roman" w:hAnsi="Dutch 801 Roman;Times New Roman" w:eastAsia="Times New Roman" w:cs="Dutch 801 Roman;Times New Roman"/>
      <w:color w:val="auto"/>
      <w:sz w:val="24"/>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Dutch 801 Roman;Times New Roman" w:hAnsi="Dutch 801 Roman;Times New Roman" w:eastAsia="Times New Roman" w:cs="Dutch 801 Roman;Times New Roman"/>
      <w:color w:val="auto"/>
      <w:sz w:val="24"/>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Dutch 801 Roman;Times New Roman" w:hAnsi="Dutch 801 Roman;Times New Roman" w:eastAsia="Times New Roman" w:cs="Dutch 801 Roman;Times New Roman"/>
      <w:color w:val="auto"/>
      <w:sz w:val="24"/>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Dutch 801 Roman;Times New Roman" w:hAnsi="Dutch 801 Roman;Times New Roman" w:eastAsia="Times New Roman" w:cs="Dutch 801 Roman;Times New Roman"/>
      <w:color w:val="auto"/>
      <w:sz w:val="24"/>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Dutch 801 Roman;Times New Roman" w:hAnsi="Dutch 801 Roman;Times New Roman" w:eastAsia="Times New Roman" w:cs="Dutch 801 Roman;Times New Roman"/>
      <w:color w:val="auto"/>
      <w:sz w:val="24"/>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Dutch 801 Roman;Times New Roman" w:hAnsi="Dutch 801 Roman;Times New Roman" w:eastAsia="Times New Roman" w:cs="Dutch 801 Roman;Times New Roman"/>
      <w:color w:val="auto"/>
      <w:sz w:val="24"/>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Dutch 801 Roman;Times New Roman" w:hAnsi="Dutch 801 Roman;Times New Roman" w:eastAsia="Times New Roman" w:cs="Dutch 801 Roman;Times New Roman"/>
      <w:color w:val="auto"/>
      <w:sz w:val="24"/>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Dutch 801 Roman;Times New Roman" w:hAnsi="Dutch 801 Roman;Times New Roman" w:eastAsia="Times New Roman" w:cs="Dutch 801 Roman;Times New Roman"/>
      <w:color w:val="auto"/>
      <w:sz w:val="24"/>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Dutch 801 Roman;Times New Roman" w:hAnsi="Dutch 801 Roman;Times New Roman" w:eastAsia="Times New Roman" w:cs="Dutch 801 Roman;Times New Roman"/>
      <w:color w:val="auto"/>
      <w:sz w:val="24"/>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Dutch 801 Roman;Times New Roman" w:hAnsi="Dutch 801 Roman;Times New Roman" w:eastAsia="Times New Roman" w:cs="Dutch 801 Roman;Times New Roman"/>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Dutch 801 Roman;Times New Roman" w:hAnsi="Dutch 801 Roman;Times New Roman" w:eastAsia="Times New Roman" w:cs="Dutch 801 Roman;Times New Roman"/>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Dutch 801 Roman;Times New Roman" w:hAnsi="Dutch 801 Roman;Times New Roman" w:eastAsia="Times New Roman" w:cs="Dutch 801 Roman;Times New Roman"/>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Dutch 801 Roman;Times New Roman" w:hAnsi="Dutch 801 Roman;Times New Roman" w:eastAsia="Times New Roman" w:cs="Dutch 801 Roman;Times New Roman"/>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Dutch 801 Roman;Times New Roman" w:hAnsi="Dutch 801 Roman;Times New Roman" w:eastAsia="Times New Roman" w:cs="Dutch 801 Roman;Times New Roman"/>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Dutch 801 Roman;Times New Roman" w:hAnsi="Dutch 801 Roman;Times New Roman" w:eastAsia="Times New Roman" w:cs="Dutch 801 Roman;Times New Roman"/>
      <w:color w:val="auto"/>
      <w:sz w:val="24"/>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168" w:leader="none"/>
      </w:tabs>
      <w:suppressAutoHyphens w:val="true"/>
      <w:ind w:hanging="3168" w:start="3168" w:end="0"/>
      <w:jc w:val="both"/>
    </w:pPr>
    <w:rPr>
      <w:rFonts w:ascii="Courier New" w:hAnsi="Courier New" w:cs="Courier New"/>
      <w:spacing w:val="-2"/>
      <w:sz w:val="20"/>
    </w:rPr>
  </w:style>
  <w:style w:type="paragraph" w:styleId="BodyText2">
    <w:name w:val="Body Text 2"/>
    <w:basedOn w:val="Normal"/>
    <w:qFormat/>
    <w:pPr>
      <w:suppressAutoHyphens w:val="true"/>
      <w:jc w:val="both"/>
    </w:pPr>
    <w:rPr>
      <w:rFonts w:ascii="CG Times (WN)" w:hAnsi="CG Times (WN)" w:cs="CG Times (WN)"/>
      <w:spacing w:val="-3"/>
    </w:rPr>
  </w:style>
  <w:style w:type="paragraph" w:styleId="BodyTextIndent2">
    <w:name w:val="Body Text Indent 2"/>
    <w:basedOn w:val="Normal"/>
    <w:qFormat/>
    <w:pPr>
      <w:tabs>
        <w:tab w:val="clear" w:pos="720"/>
        <w:tab w:val="left" w:pos="3168" w:leader="none"/>
      </w:tabs>
      <w:suppressAutoHyphens w:val="true"/>
      <w:ind w:hanging="3168" w:start="3168" w:end="0"/>
      <w:jc w:val="both"/>
    </w:pPr>
    <w:rPr>
      <w:rFonts w:ascii="CG Times" w:hAnsi="CG Times" w:cs="CG Times"/>
      <w:spacing w:val="-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LEGAL.DOT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2001-02-07T16:18:00Z</dcterms:created>
  <dc:creator>EPSC</dc:creator>
  <dc:description/>
  <dc:language>en-CA</dc:language>
  <cp:lastModifiedBy>vnichol</cp:lastModifiedBy>
  <cp:lastPrinted>2001-02-07T09:29:00Z</cp:lastPrinted>
  <dcterms:modified xsi:type="dcterms:W3CDTF">2001-02-07T16:18:00Z</dcterms:modified>
  <cp:revision>3</cp:revision>
  <dc:subject/>
  <dc:title>ENRON CORP.</dc:title>
</cp:coreProperties>
</file>