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Northern Natural Gas Company</w:t>
      </w:r>
    </w:p>
    <w:p>
      <w:pPr>
        <w:pStyle w:val="Normal"/>
        <w:rPr>
          <w:b/>
          <w:bCs/>
        </w:rPr>
      </w:pPr>
      <w:r>
        <w:rPr>
          <w:b/>
          <w:bCs/>
        </w:rPr>
        <w:t>Order No. 637 Compliance Filing (and Re-filing)</w:t>
      </w:r>
    </w:p>
    <w:p>
      <w:pPr>
        <w:pStyle w:val="Normal"/>
        <w:rPr>
          <w:b/>
          <w:bCs/>
        </w:rPr>
      </w:pPr>
      <w:r>
        <w:rPr>
          <w:b/>
          <w:bCs/>
        </w:rPr>
        <w:t>February 14, 2002</w:t>
      </w:r>
    </w:p>
    <w:p>
      <w:pPr>
        <w:pStyle w:val="Normal"/>
        <w:rPr>
          <w:b/>
          <w:bCs/>
        </w:rPr>
      </w:pPr>
      <w:r>
        <w:rPr>
          <w:b/>
          <w:bCs/>
        </w:rPr>
      </w:r>
    </w:p>
    <w:p>
      <w:pPr>
        <w:pStyle w:val="Normal"/>
        <w:rPr/>
      </w:pPr>
      <w:r>
        <w:rPr/>
      </w:r>
    </w:p>
    <w:p>
      <w:pPr>
        <w:pStyle w:val="Normal"/>
        <w:rPr/>
      </w:pPr>
      <w:r>
        <w:rPr/>
        <w:t>Order No. 637 is FERC’s attempt to enhance the effectiveness and efficiency of natural gas markets.</w:t>
      </w:r>
    </w:p>
    <w:p>
      <w:pPr>
        <w:pStyle w:val="Normal"/>
        <w:rPr/>
      </w:pPr>
      <w:r>
        <w:rPr/>
      </w:r>
    </w:p>
    <w:p>
      <w:pPr>
        <w:pStyle w:val="Normal"/>
        <w:rPr/>
      </w:pPr>
      <w:r>
        <w:rPr/>
        <w:t>In the FERC order approving the SLA Settlement, Northern was required to re-file its Order No. 637 compliance on or before March 4, 2002.</w:t>
      </w:r>
    </w:p>
    <w:p>
      <w:pPr>
        <w:pStyle w:val="Normal"/>
        <w:rPr/>
      </w:pPr>
      <w:r>
        <w:rPr/>
      </w:r>
    </w:p>
    <w:p>
      <w:pPr>
        <w:pStyle w:val="Normal"/>
        <w:rPr/>
      </w:pPr>
      <w:r>
        <w:rPr/>
      </w:r>
    </w:p>
    <w:p>
      <w:pPr>
        <w:pStyle w:val="Heading1"/>
        <w:ind w:hanging="0" w:start="0"/>
        <w:rPr/>
      </w:pPr>
      <w:r>
        <w:rPr/>
        <w:t>ISSUES AND POSITIONS</w:t>
      </w:r>
    </w:p>
    <w:p>
      <w:pPr>
        <w:pStyle w:val="Normal"/>
        <w:rPr/>
      </w:pPr>
      <w:r>
        <w:rPr/>
      </w:r>
    </w:p>
    <w:p>
      <w:pPr>
        <w:pStyle w:val="Heading2"/>
        <w:ind w:hanging="0" w:start="0"/>
        <w:rPr/>
      </w:pPr>
      <w:r>
        <w:rPr>
          <w:b/>
          <w:bCs/>
        </w:rPr>
        <w:t>Scheduling Equality with Capacity Release</w:t>
      </w:r>
      <w:r>
        <w:rPr>
          <w:b/>
          <w:bCs/>
          <w:u w:val="none"/>
        </w:rPr>
        <w:t xml:space="preserve"> – </w:t>
      </w:r>
    </w:p>
    <w:p>
      <w:pPr>
        <w:pStyle w:val="Normal"/>
        <w:rPr>
          <w:b/>
          <w:bCs/>
          <w:u w:val="none"/>
        </w:rPr>
      </w:pPr>
      <w:r>
        <w:rPr>
          <w:b/>
          <w:bCs/>
          <w:u w:val="none"/>
        </w:rPr>
      </w:r>
    </w:p>
    <w:p>
      <w:pPr>
        <w:pStyle w:val="Normal"/>
        <w:rPr/>
      </w:pPr>
      <w:r>
        <w:rPr/>
        <w:t>Proposed Tariff changes to implement Order No. 637 requirements:</w:t>
      </w:r>
    </w:p>
    <w:p>
      <w:pPr>
        <w:pStyle w:val="Normal"/>
        <w:numPr>
          <w:ilvl w:val="0"/>
          <w:numId w:val="7"/>
        </w:numPr>
        <w:rPr/>
      </w:pPr>
      <w:r>
        <w:rPr/>
        <w:t>Tariff changed such that pre-arranged Capacity Release transactions are able to nominate at timely and evening cycles (Sheet No. 287).</w:t>
      </w:r>
    </w:p>
    <w:p>
      <w:pPr>
        <w:pStyle w:val="Normal"/>
        <w:numPr>
          <w:ilvl w:val="1"/>
          <w:numId w:val="7"/>
        </w:numPr>
        <w:tabs>
          <w:tab w:val="clear" w:pos="720"/>
          <w:tab w:val="left" w:pos="1080" w:leader="none"/>
        </w:tabs>
        <w:ind w:hanging="720" w:start="1440" w:end="0"/>
        <w:rPr>
          <w:b/>
          <w:bCs/>
        </w:rPr>
      </w:pPr>
      <w:r>
        <w:rPr>
          <w:b/>
          <w:bCs/>
        </w:rPr>
        <w:t>Possible settlement positions</w:t>
      </w:r>
    </w:p>
    <w:p>
      <w:pPr>
        <w:pStyle w:val="Normal"/>
        <w:numPr>
          <w:ilvl w:val="2"/>
          <w:numId w:val="7"/>
        </w:numPr>
        <w:tabs>
          <w:tab w:val="clear" w:pos="720"/>
          <w:tab w:val="left" w:pos="1440" w:leader="none"/>
        </w:tabs>
        <w:ind w:hanging="360" w:start="1440" w:end="0"/>
        <w:rPr/>
      </w:pPr>
      <w:r>
        <w:rPr/>
        <w:t>Allow pre-arranged (?) capacity release nominates at all cycles.</w:t>
      </w:r>
    </w:p>
    <w:p>
      <w:pPr>
        <w:pStyle w:val="Normal"/>
        <w:numPr>
          <w:ilvl w:val="2"/>
          <w:numId w:val="7"/>
        </w:numPr>
        <w:tabs>
          <w:tab w:val="clear" w:pos="720"/>
          <w:tab w:val="left" w:pos="1440" w:leader="none"/>
        </w:tabs>
        <w:ind w:hanging="360" w:start="1440" w:end="0"/>
        <w:rPr/>
      </w:pPr>
      <w:r>
        <w:rPr/>
        <w:t>Shipper may release at the “minimum” commodity rate if their contract provides for the releasor paying the minimum commodity rate or the releasor agrees to keep Northern whole on the commodity rate by an adjustment to the reservation rate.</w:t>
      </w:r>
    </w:p>
    <w:p>
      <w:pPr>
        <w:pStyle w:val="Normal"/>
        <w:numPr>
          <w:ilvl w:val="2"/>
          <w:numId w:val="7"/>
        </w:numPr>
        <w:tabs>
          <w:tab w:val="clear" w:pos="720"/>
          <w:tab w:val="left" w:pos="1440" w:leader="none"/>
        </w:tabs>
        <w:ind w:hanging="360" w:start="1440" w:end="0"/>
        <w:rPr/>
      </w:pPr>
      <w:r>
        <w:rPr/>
        <w:t>Northern discussed “master contracts” but with recent events timing is uncertain regarding the implementation of the new system and the system’s business requirements.</w:t>
      </w:r>
    </w:p>
    <w:p>
      <w:pPr>
        <w:pStyle w:val="Normal"/>
        <w:numPr>
          <w:ilvl w:val="0"/>
          <w:numId w:val="7"/>
        </w:numPr>
        <w:rPr/>
      </w:pPr>
      <w:r>
        <w:rPr/>
        <w:t>Tariff changed to provide that “acquiring contract” would be issued within one hour (Sheet No. 287).</w:t>
      </w:r>
    </w:p>
    <w:p>
      <w:pPr>
        <w:pStyle w:val="Normal"/>
        <w:rPr/>
      </w:pPr>
      <w:r>
        <w:rPr/>
      </w:r>
    </w:p>
    <w:p>
      <w:pPr>
        <w:pStyle w:val="Normal"/>
        <w:rPr/>
      </w:pPr>
      <w:r>
        <w:rPr/>
      </w:r>
    </w:p>
    <w:p>
      <w:pPr>
        <w:pStyle w:val="Normal"/>
        <w:rPr/>
      </w:pPr>
      <w:r>
        <w:rPr>
          <w:b/>
          <w:bCs/>
          <w:u w:val="single"/>
        </w:rPr>
        <w:t xml:space="preserve">Segmentation </w:t>
      </w:r>
      <w:r>
        <w:rPr>
          <w:b/>
          <w:bCs/>
        </w:rPr>
        <w:t xml:space="preserve">– </w:t>
      </w:r>
    </w:p>
    <w:p>
      <w:pPr>
        <w:pStyle w:val="Normal"/>
        <w:rPr>
          <w:b/>
          <w:bCs/>
        </w:rPr>
      </w:pPr>
      <w:r>
        <w:rPr>
          <w:b/>
          <w:bCs/>
        </w:rPr>
      </w:r>
    </w:p>
    <w:p>
      <w:pPr>
        <w:pStyle w:val="Normal"/>
        <w:rPr/>
      </w:pPr>
      <w:r>
        <w:rPr/>
        <w:t xml:space="preserve">Northern’s arguments for </w:t>
      </w:r>
      <w:r>
        <w:rPr>
          <w:u w:val="single"/>
        </w:rPr>
        <w:t>no</w:t>
      </w:r>
      <w:r>
        <w:rPr/>
        <w:t xml:space="preserve"> change:</w:t>
      </w:r>
    </w:p>
    <w:p>
      <w:pPr>
        <w:pStyle w:val="Normal"/>
        <w:numPr>
          <w:ilvl w:val="0"/>
          <w:numId w:val="6"/>
        </w:numPr>
        <w:rPr/>
      </w:pPr>
      <w:r>
        <w:rPr/>
        <w:t>Northern’s system configuration is not conducive to segmenting.</w:t>
      </w:r>
    </w:p>
    <w:p>
      <w:pPr>
        <w:pStyle w:val="Normal"/>
        <w:numPr>
          <w:ilvl w:val="0"/>
          <w:numId w:val="6"/>
        </w:numPr>
        <w:rPr/>
      </w:pPr>
      <w:r>
        <w:rPr/>
        <w:t>Northern allows segmenting between Market and Field.</w:t>
      </w:r>
    </w:p>
    <w:p>
      <w:pPr>
        <w:pStyle w:val="Normal"/>
        <w:numPr>
          <w:ilvl w:val="0"/>
          <w:numId w:val="6"/>
        </w:numPr>
        <w:rPr/>
      </w:pPr>
      <w:r>
        <w:rPr/>
        <w:t>Shipper firm contracts do not contain specific paths.</w:t>
      </w:r>
    </w:p>
    <w:p>
      <w:pPr>
        <w:pStyle w:val="Normal"/>
        <w:numPr>
          <w:ilvl w:val="0"/>
          <w:numId w:val="6"/>
        </w:numPr>
        <w:rPr/>
      </w:pPr>
      <w:r>
        <w:rPr/>
        <w:t>Within the path priority is not feasible without contractual paths.</w:t>
      </w:r>
    </w:p>
    <w:p>
      <w:pPr>
        <w:pStyle w:val="Normal"/>
        <w:numPr>
          <w:ilvl w:val="1"/>
          <w:numId w:val="6"/>
        </w:numPr>
        <w:tabs>
          <w:tab w:val="clear" w:pos="720"/>
          <w:tab w:val="left" w:pos="1080" w:leader="none"/>
        </w:tabs>
        <w:ind w:hanging="360" w:start="1080" w:end="0"/>
        <w:rPr/>
      </w:pPr>
      <w:r>
        <w:rPr>
          <w:b/>
          <w:bCs/>
        </w:rPr>
        <w:t>Possible settlement positions</w:t>
      </w:r>
    </w:p>
    <w:p>
      <w:pPr>
        <w:pStyle w:val="Normal"/>
        <w:numPr>
          <w:ilvl w:val="2"/>
          <w:numId w:val="6"/>
        </w:numPr>
        <w:tabs>
          <w:tab w:val="clear" w:pos="720"/>
          <w:tab w:val="left" w:pos="1440" w:leader="none"/>
        </w:tabs>
        <w:ind w:hanging="360" w:start="1440" w:end="0"/>
        <w:rPr/>
      </w:pPr>
      <w:r>
        <w:rPr/>
        <w:t>No segmentation in the Market Area.</w:t>
      </w:r>
    </w:p>
    <w:p>
      <w:pPr>
        <w:pStyle w:val="Normal"/>
        <w:numPr>
          <w:ilvl w:val="2"/>
          <w:numId w:val="6"/>
        </w:numPr>
        <w:tabs>
          <w:tab w:val="clear" w:pos="720"/>
          <w:tab w:val="left" w:pos="1440" w:leader="none"/>
        </w:tabs>
        <w:ind w:hanging="360" w:start="1440" w:end="0"/>
        <w:rPr/>
      </w:pPr>
      <w:r>
        <w:rPr/>
        <w:t>Northern will evaluate any Shipper’s proposal for segmentation on an alternate basis in the Field Area.</w:t>
      </w:r>
    </w:p>
    <w:p>
      <w:pPr>
        <w:pStyle w:val="Normal"/>
        <w:numPr>
          <w:ilvl w:val="2"/>
          <w:numId w:val="6"/>
        </w:numPr>
        <w:tabs>
          <w:tab w:val="clear" w:pos="720"/>
          <w:tab w:val="left" w:pos="1440" w:leader="none"/>
        </w:tabs>
        <w:ind w:hanging="360" w:start="1440" w:end="0"/>
        <w:rPr/>
      </w:pPr>
      <w:r>
        <w:rPr/>
        <w:t>In the Market Area, Shippers with primary delivery rights within an Operational Zone will have alternate priority rights in the Zone over alternate rights from Shippers with primary delivery rights outside the Zone.</w:t>
      </w:r>
    </w:p>
    <w:p>
      <w:pPr>
        <w:pStyle w:val="Normal"/>
        <w:rPr/>
      </w:pPr>
      <w:r>
        <w:rPr/>
      </w:r>
      <w:r>
        <w:br w:type="page"/>
      </w:r>
    </w:p>
    <w:p>
      <w:pPr>
        <w:pStyle w:val="Normal"/>
        <w:rPr/>
      </w:pPr>
      <w:r>
        <w:rPr>
          <w:b/>
          <w:bCs/>
          <w:u w:val="single"/>
        </w:rPr>
        <w:t>“</w:t>
      </w:r>
      <w:r>
        <w:rPr>
          <w:b/>
          <w:bCs/>
          <w:u w:val="single"/>
        </w:rPr>
        <w:t>New” Imbalance Services</w:t>
      </w:r>
      <w:r>
        <w:rPr>
          <w:b/>
          <w:bCs/>
        </w:rPr>
        <w:t xml:space="preserve"> – </w:t>
      </w:r>
    </w:p>
    <w:p>
      <w:pPr>
        <w:pStyle w:val="Normal"/>
        <w:rPr>
          <w:b/>
          <w:bCs/>
        </w:rPr>
      </w:pPr>
      <w:r>
        <w:rPr>
          <w:b/>
          <w:bCs/>
        </w:rPr>
      </w:r>
    </w:p>
    <w:p>
      <w:pPr>
        <w:pStyle w:val="Normal"/>
        <w:rPr/>
      </w:pPr>
      <w:r>
        <w:rPr/>
        <w:t>Preferred Deferred Delivery (PDD)</w:t>
      </w:r>
    </w:p>
    <w:p>
      <w:pPr>
        <w:pStyle w:val="Normal"/>
        <w:numPr>
          <w:ilvl w:val="0"/>
          <w:numId w:val="2"/>
        </w:numPr>
        <w:rPr/>
      </w:pPr>
      <w:r>
        <w:rPr/>
        <w:t>Priority greater than IDD but less than FDD</w:t>
      </w:r>
    </w:p>
    <w:p>
      <w:pPr>
        <w:pStyle w:val="Normal"/>
        <w:numPr>
          <w:ilvl w:val="0"/>
          <w:numId w:val="2"/>
        </w:numPr>
        <w:rPr/>
      </w:pPr>
      <w:r>
        <w:rPr/>
        <w:t>Set out specific injection and withdrawal schedules (packages)</w:t>
      </w:r>
    </w:p>
    <w:p>
      <w:pPr>
        <w:pStyle w:val="Normal"/>
        <w:numPr>
          <w:ilvl w:val="0"/>
          <w:numId w:val="2"/>
        </w:numPr>
        <w:rPr/>
      </w:pPr>
      <w:r>
        <w:rPr/>
        <w:t xml:space="preserve">Performance penalty </w:t>
      </w:r>
    </w:p>
    <w:p>
      <w:pPr>
        <w:pStyle w:val="Normal"/>
        <w:numPr>
          <w:ilvl w:val="0"/>
          <w:numId w:val="2"/>
        </w:numPr>
        <w:rPr/>
      </w:pPr>
      <w:r>
        <w:rPr/>
        <w:t>Rates are IDD rates plus Capacity Charge ($0.30)</w:t>
      </w:r>
    </w:p>
    <w:p>
      <w:pPr>
        <w:pStyle w:val="Normal"/>
        <w:rPr/>
      </w:pPr>
      <w:r>
        <w:rPr/>
        <w:t>Power Pak</w:t>
      </w:r>
    </w:p>
    <w:p>
      <w:pPr>
        <w:pStyle w:val="Normal"/>
        <w:numPr>
          <w:ilvl w:val="0"/>
          <w:numId w:val="8"/>
        </w:numPr>
        <w:rPr/>
      </w:pPr>
      <w:r>
        <w:rPr/>
        <w:t>Can bundle rate for transport (TF/TFX/TI) and storage (FDD, PDD, IDD)</w:t>
      </w:r>
    </w:p>
    <w:p>
      <w:pPr>
        <w:pStyle w:val="Normal"/>
        <w:numPr>
          <w:ilvl w:val="0"/>
          <w:numId w:val="8"/>
        </w:numPr>
        <w:rPr/>
      </w:pPr>
      <w:r>
        <w:rPr/>
        <w:t>Northern will balance for shipper at end of the gas day</w:t>
      </w:r>
    </w:p>
    <w:p>
      <w:pPr>
        <w:pStyle w:val="Normal"/>
        <w:rPr/>
      </w:pPr>
      <w:r>
        <w:rPr/>
        <w:t>Auto-Balancing</w:t>
      </w:r>
    </w:p>
    <w:p>
      <w:pPr>
        <w:pStyle w:val="Normal"/>
        <w:numPr>
          <w:ilvl w:val="0"/>
          <w:numId w:val="4"/>
        </w:numPr>
        <w:rPr/>
      </w:pPr>
      <w:r>
        <w:rPr/>
        <w:t>Northern as agent uses shipper’s storage account to keep markets/supplies on during confirmation process.</w:t>
      </w:r>
    </w:p>
    <w:p>
      <w:pPr>
        <w:pStyle w:val="Normal"/>
        <w:rPr/>
      </w:pPr>
      <w:r>
        <w:rPr/>
      </w:r>
    </w:p>
    <w:p>
      <w:pPr>
        <w:pStyle w:val="Normal"/>
        <w:rPr/>
      </w:pPr>
      <w:r>
        <w:rPr/>
      </w:r>
    </w:p>
    <w:p>
      <w:pPr>
        <w:pStyle w:val="Normal"/>
        <w:rPr/>
      </w:pPr>
      <w:r>
        <w:rPr>
          <w:b/>
          <w:bCs/>
          <w:u w:val="single"/>
        </w:rPr>
        <w:t>Resolve Imbalances Volumetrically</w:t>
      </w:r>
      <w:r>
        <w:rPr>
          <w:b/>
          <w:bCs/>
        </w:rPr>
        <w:t xml:space="preserve"> –</w:t>
      </w:r>
    </w:p>
    <w:p>
      <w:pPr>
        <w:pStyle w:val="Normal"/>
        <w:rPr/>
      </w:pPr>
      <w:r>
        <w:rPr/>
      </w:r>
    </w:p>
    <w:p>
      <w:pPr>
        <w:pStyle w:val="Normal"/>
        <w:numPr>
          <w:ilvl w:val="0"/>
          <w:numId w:val="4"/>
        </w:numPr>
        <w:rPr/>
      </w:pPr>
      <w:r>
        <w:rPr/>
        <w:t>“</w:t>
      </w:r>
      <w:r>
        <w:rPr/>
        <w:t>New” Imbalance Netting &amp; Trading (GISB)  (Sheet No. 269)</w:t>
      </w:r>
    </w:p>
    <w:p>
      <w:pPr>
        <w:pStyle w:val="Normal"/>
        <w:numPr>
          <w:ilvl w:val="1"/>
          <w:numId w:val="4"/>
        </w:numPr>
        <w:rPr/>
      </w:pPr>
      <w:r>
        <w:rPr/>
        <w:t>Shippers have a window to trade imbalances before valuation applied.</w:t>
      </w:r>
    </w:p>
    <w:p>
      <w:pPr>
        <w:pStyle w:val="Normal"/>
        <w:numPr>
          <w:ilvl w:val="1"/>
          <w:numId w:val="4"/>
        </w:numPr>
        <w:rPr/>
      </w:pPr>
      <w:r>
        <w:rPr/>
        <w:t>Northern will post additional system information on website.</w:t>
      </w:r>
    </w:p>
    <w:p>
      <w:pPr>
        <w:pStyle w:val="Normal"/>
        <w:numPr>
          <w:ilvl w:val="2"/>
          <w:numId w:val="6"/>
        </w:numPr>
        <w:tabs>
          <w:tab w:val="clear" w:pos="720"/>
          <w:tab w:val="left" w:pos="1800" w:leader="none"/>
        </w:tabs>
        <w:ind w:hanging="360" w:start="1800" w:end="0"/>
        <w:rPr/>
      </w:pPr>
      <w:r>
        <w:rPr>
          <w:b/>
          <w:bCs/>
        </w:rPr>
        <w:t>Possible settlement positions</w:t>
      </w:r>
    </w:p>
    <w:p>
      <w:pPr>
        <w:pStyle w:val="Normal"/>
        <w:numPr>
          <w:ilvl w:val="3"/>
          <w:numId w:val="4"/>
        </w:numPr>
        <w:tabs>
          <w:tab w:val="clear" w:pos="720"/>
          <w:tab w:val="left" w:pos="2160" w:leader="none"/>
        </w:tabs>
        <w:ind w:hanging="360" w:start="2160" w:end="0"/>
        <w:rPr/>
      </w:pPr>
      <w:r>
        <w:rPr/>
        <w:t>Northern will post all imbalance data in one central location on its website.</w:t>
      </w:r>
    </w:p>
    <w:p>
      <w:pPr>
        <w:pStyle w:val="Normal"/>
        <w:numPr>
          <w:ilvl w:val="0"/>
          <w:numId w:val="4"/>
        </w:numPr>
        <w:rPr/>
      </w:pPr>
      <w:r>
        <w:rPr/>
        <w:t>Modify monthly imbalance to storage  (Sheet No. 269)</w:t>
      </w:r>
    </w:p>
    <w:p>
      <w:pPr>
        <w:pStyle w:val="Normal"/>
        <w:numPr>
          <w:ilvl w:val="1"/>
          <w:numId w:val="4"/>
        </w:numPr>
        <w:rPr/>
      </w:pPr>
      <w:r>
        <w:rPr/>
        <w:t>Imbalance can be swept into storage before valuation applies.</w:t>
      </w:r>
    </w:p>
    <w:p>
      <w:pPr>
        <w:pStyle w:val="Normal"/>
        <w:rPr/>
      </w:pPr>
      <w:r>
        <w:rPr/>
      </w:r>
    </w:p>
    <w:p>
      <w:pPr>
        <w:pStyle w:val="Normal"/>
        <w:rPr/>
      </w:pPr>
      <w:r>
        <w:rPr/>
      </w:r>
    </w:p>
    <w:p>
      <w:pPr>
        <w:pStyle w:val="Normal"/>
        <w:rPr/>
      </w:pPr>
      <w:r>
        <w:rPr>
          <w:b/>
          <w:bCs/>
          <w:u w:val="single"/>
        </w:rPr>
        <w:t>Operational Flow Order</w:t>
      </w:r>
      <w:r>
        <w:rPr>
          <w:b/>
          <w:bCs/>
        </w:rPr>
        <w:t xml:space="preserve"> –</w:t>
      </w:r>
      <w:r>
        <w:rPr/>
        <w:t xml:space="preserve"> Nothing New</w:t>
      </w:r>
    </w:p>
    <w:p>
      <w:pPr>
        <w:pStyle w:val="Normal"/>
        <w:rPr/>
      </w:pPr>
      <w:r>
        <w:rPr/>
      </w:r>
    </w:p>
    <w:p>
      <w:pPr>
        <w:pStyle w:val="Normal"/>
        <w:numPr>
          <w:ilvl w:val="0"/>
          <w:numId w:val="5"/>
        </w:numPr>
        <w:rPr/>
      </w:pPr>
      <w:r>
        <w:rPr/>
        <w:t>Northern only has Carlton Resolution</w:t>
      </w:r>
    </w:p>
    <w:p>
      <w:pPr>
        <w:pStyle w:val="Normal"/>
        <w:rPr/>
      </w:pPr>
      <w:r>
        <w:rPr/>
      </w:r>
    </w:p>
    <w:p>
      <w:pPr>
        <w:pStyle w:val="Normal"/>
        <w:rPr/>
      </w:pPr>
      <w:r>
        <w:rPr/>
      </w:r>
    </w:p>
    <w:p>
      <w:pPr>
        <w:pStyle w:val="Normal"/>
        <w:rPr/>
      </w:pPr>
      <w:r>
        <w:rPr>
          <w:b/>
          <w:bCs/>
          <w:u w:val="single"/>
        </w:rPr>
        <w:t xml:space="preserve">Penalties </w:t>
      </w:r>
      <w:r>
        <w:rPr>
          <w:b/>
          <w:bCs/>
        </w:rPr>
        <w:t>–</w:t>
      </w:r>
    </w:p>
    <w:p>
      <w:pPr>
        <w:pStyle w:val="Normal"/>
        <w:rPr/>
      </w:pPr>
      <w:r>
        <w:rPr/>
      </w:r>
    </w:p>
    <w:p>
      <w:pPr>
        <w:pStyle w:val="Normal"/>
        <w:numPr>
          <w:ilvl w:val="0"/>
          <w:numId w:val="5"/>
        </w:numPr>
        <w:rPr/>
      </w:pPr>
      <w:r>
        <w:rPr/>
        <w:t>Current penalties are appropriate.</w:t>
      </w:r>
    </w:p>
    <w:p>
      <w:pPr>
        <w:pStyle w:val="Normal"/>
        <w:numPr>
          <w:ilvl w:val="0"/>
          <w:numId w:val="5"/>
        </w:numPr>
        <w:rPr/>
      </w:pPr>
      <w:r>
        <w:rPr/>
        <w:t>“</w:t>
      </w:r>
      <w:r>
        <w:rPr/>
        <w:t>New” tariff provision – Will credit penalty revenues above rate case amount to the SLA (Sheet Nos. 266 &amp; 292A).</w:t>
      </w:r>
    </w:p>
    <w:p>
      <w:pPr>
        <w:pStyle w:val="Normal"/>
        <w:numPr>
          <w:ilvl w:val="1"/>
          <w:numId w:val="5"/>
        </w:numPr>
        <w:rPr/>
      </w:pPr>
      <w:r>
        <w:rPr>
          <w:b/>
          <w:bCs/>
        </w:rPr>
        <w:t>Possible settlement positions</w:t>
      </w:r>
    </w:p>
    <w:p>
      <w:pPr>
        <w:pStyle w:val="Normal"/>
        <w:numPr>
          <w:ilvl w:val="2"/>
          <w:numId w:val="5"/>
        </w:numPr>
        <w:tabs>
          <w:tab w:val="clear" w:pos="720"/>
          <w:tab w:val="left" w:pos="1800" w:leader="none"/>
        </w:tabs>
        <w:ind w:hanging="360" w:start="1800" w:end="0"/>
        <w:rPr/>
      </w:pPr>
      <w:r>
        <w:rPr/>
        <w:t>Northern will post on its website, within 3 days of calling an SOL, SUL, or Critical Day, the following actual conditions: system weighted temperature, line pack, operational storage impact, points of allocation and any horsepower outages.</w:t>
      </w:r>
    </w:p>
    <w:p>
      <w:pPr>
        <w:pStyle w:val="Normal"/>
        <w:numPr>
          <w:ilvl w:val="2"/>
          <w:numId w:val="5"/>
        </w:numPr>
        <w:tabs>
          <w:tab w:val="clear" w:pos="720"/>
          <w:tab w:val="left" w:pos="1800" w:leader="none"/>
        </w:tabs>
        <w:ind w:hanging="360" w:start="1800" w:end="0"/>
        <w:rPr/>
      </w:pPr>
      <w:r>
        <w:rPr/>
        <w:t>DDVC’s continue to be applicable every day at points where Northern has real time electronic measurement.  At all other points, DDVCs will be applicable only on SOL, SUL, and Critical Days.</w:t>
      </w:r>
    </w:p>
    <w:p>
      <w:pPr>
        <w:pStyle w:val="Normal"/>
        <w:rPr/>
      </w:pPr>
      <w:r>
        <w:rPr/>
      </w:r>
    </w:p>
    <w:p>
      <w:pPr>
        <w:pStyle w:val="Normal"/>
        <w:rPr/>
      </w:pPr>
      <w:r>
        <w:rPr/>
      </w:r>
    </w:p>
    <w:p>
      <w:pPr>
        <w:pStyle w:val="Normal"/>
        <w:rPr>
          <w:b/>
          <w:bCs/>
        </w:rPr>
      </w:pPr>
      <w:r>
        <w:rPr>
          <w:b/>
          <w:bCs/>
          <w:u w:val="single"/>
        </w:rPr>
        <w:t>“</w:t>
      </w:r>
      <w:r>
        <w:rPr>
          <w:b/>
          <w:bCs/>
          <w:u w:val="single"/>
        </w:rPr>
        <w:t>New” Discount Policy</w:t>
      </w:r>
      <w:r>
        <w:rPr>
          <w:b/>
          <w:bCs/>
        </w:rPr>
        <w:t xml:space="preserve"> – </w:t>
      </w:r>
      <w:r>
        <w:rPr>
          <w:b/>
          <w:bCs/>
          <w:u w:val="single"/>
        </w:rPr>
        <w:t>CIG/Granite States</w:t>
      </w:r>
    </w:p>
    <w:p>
      <w:pPr>
        <w:pStyle w:val="Normal"/>
        <w:rPr>
          <w:b/>
          <w:bCs/>
        </w:rPr>
      </w:pPr>
      <w:r>
        <w:rPr>
          <w:b/>
          <w:bCs/>
        </w:rPr>
      </w:r>
    </w:p>
    <w:p>
      <w:pPr>
        <w:pStyle w:val="Normal"/>
        <w:numPr>
          <w:ilvl w:val="0"/>
          <w:numId w:val="3"/>
        </w:numPr>
        <w:rPr/>
      </w:pPr>
      <w:r>
        <w:rPr/>
        <w:t>Policy – A shipper holding a discount at a point will retain a discounted rate if it chooses to segment, release capacity, or use its flexible receipt and delivery point rights to move gas to another point at which the pipeline has granted discounts for its firm or interruptible transportation services.</w:t>
      </w:r>
    </w:p>
    <w:p>
      <w:pPr>
        <w:pStyle w:val="Normal"/>
        <w:numPr>
          <w:ilvl w:val="0"/>
          <w:numId w:val="3"/>
        </w:numPr>
        <w:rPr/>
      </w:pPr>
      <w:r>
        <w:rPr/>
        <w:t xml:space="preserve">Requires pipelines to process shipper’s request to retain discounts in no longer than two (2) hours from the time the request is submitted. </w:t>
      </w:r>
    </w:p>
    <w:p>
      <w:pPr>
        <w:pStyle w:val="Normal"/>
        <w:numPr>
          <w:ilvl w:val="0"/>
          <w:numId w:val="3"/>
        </w:numPr>
        <w:rPr/>
      </w:pPr>
      <w:r>
        <w:rPr/>
        <w:t>The pipeline can rebut this presumption by demonstrating that the segmented or secondary point transaction is not “similarly situated” to the transactions receiving the discount at the secondary point.</w:t>
      </w:r>
    </w:p>
    <w:p>
      <w:pPr>
        <w:pStyle w:val="Normal"/>
        <w:rPr/>
      </w:pPr>
      <w:r>
        <w:rPr/>
      </w:r>
    </w:p>
    <w:p>
      <w:pPr>
        <w:pStyle w:val="Normal"/>
        <w:rPr/>
      </w:pPr>
      <w:r>
        <w:rPr/>
        <w:t>Northern’s implementation strategy of FERC’s new Discount Policy is pending.</w:t>
      </w:r>
    </w:p>
    <w:p>
      <w:pPr>
        <w:pStyle w:val="Header"/>
        <w:tabs>
          <w:tab w:val="clear" w:pos="4320"/>
          <w:tab w:val="clear" w:pos="8640"/>
        </w:tabs>
        <w:rPr/>
      </w:pPr>
      <w:r>
        <w:rPr/>
      </w:r>
    </w:p>
    <w:p>
      <w:pPr>
        <w:pStyle w:val="Normal"/>
        <w:ind w:start="360" w:end="0"/>
        <w:rPr/>
      </w:pPr>
      <w:r>
        <w:rPr/>
      </w:r>
    </w:p>
    <w:p>
      <w:pPr>
        <w:pStyle w:val="Normal"/>
        <w:ind w:start="360" w:end="0"/>
        <w:rPr/>
      </w:pPr>
      <w:r>
        <w:rPr/>
      </w:r>
    </w:p>
    <w:p>
      <w:pPr>
        <w:pStyle w:val="BodyTextIndent"/>
        <w:rPr/>
      </w:pPr>
      <w:r>
        <w:rPr>
          <w:b/>
          <w:bCs/>
        </w:rPr>
        <w:t>OTHER Settlement issue</w:t>
      </w:r>
      <w:r>
        <w:rPr/>
        <w:t>:  Northern will consider including the cost of SBAs in the Cost of Service during the next Rate Case.</w:t>
      </w:r>
    </w:p>
    <w:p>
      <w:pPr>
        <w:pStyle w:val="Normal"/>
        <w:rPr/>
      </w:pPr>
      <w:r>
        <w:rPr/>
      </w:r>
    </w:p>
    <w:sectPr>
      <w:footerReference w:type="default" r:id="rId2"/>
      <w:type w:val="nextPage"/>
      <w:pgSz w:w="12240" w:h="15840"/>
      <w:pgMar w:left="1440" w:right="1440" w:gutter="0" w:header="0" w:top="1440"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72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2002-02-13T20:04:00Z</dcterms:created>
  <dc:creator>mwincko</dc:creator>
  <dc:description/>
  <dc:language>en-CA</dc:language>
  <cp:lastModifiedBy>mwincko</cp:lastModifiedBy>
  <cp:lastPrinted>2002-02-14T16:23:00Z</cp:lastPrinted>
  <dcterms:modified xsi:type="dcterms:W3CDTF">2002-02-15T11:31:00Z</dcterms:modified>
  <cp:revision>30</cp:revision>
  <dc:subject/>
  <dc:title/>
</cp:coreProperties>
</file>