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enovate, L.L.C.</w:t>
      </w:r>
    </w:p>
    <w:p>
      <w:pPr>
        <w:pStyle w:val="Heading1"/>
        <w:ind w:hanging="0" w:start="0"/>
        <w:rPr/>
      </w:pPr>
      <w:r>
        <w:rPr/>
        <w:t>Business Setup Items</w:t>
      </w:r>
    </w:p>
    <w:p>
      <w:pPr>
        <w:pStyle w:val="Normal"/>
        <w:rPr/>
      </w:pPr>
      <w:r>
        <w:rPr/>
      </w:r>
    </w:p>
    <w:tbl>
      <w:tblPr>
        <w:tblW w:w="15060" w:type="dxa"/>
        <w:jc w:val="start"/>
        <w:tblInd w:w="0" w:type="dxa"/>
        <w:tblLayout w:type="fixed"/>
        <w:tblCellMar>
          <w:top w:w="0" w:type="dxa"/>
          <w:start w:w="30" w:type="dxa"/>
          <w:bottom w:w="0" w:type="dxa"/>
          <w:end w:w="30" w:type="dxa"/>
        </w:tblCellMar>
      </w:tblPr>
      <w:tblGrid>
        <w:gridCol w:w="2218"/>
        <w:gridCol w:w="1044"/>
        <w:gridCol w:w="4328"/>
        <w:gridCol w:w="3960"/>
        <w:gridCol w:w="3510"/>
      </w:tblGrid>
      <w:tr>
        <w:trPr>
          <w:trHeight w:val="245" w:hRule="atLeast"/>
        </w:trPr>
        <w:tc>
          <w:tcPr>
            <w:tcW w:w="2218" w:type="dxa"/>
            <w:tcBorders>
              <w:top w:val="single" w:sz="6" w:space="0" w:color="000000"/>
              <w:start w:val="single" w:sz="6" w:space="0" w:color="000000"/>
            </w:tcBorders>
          </w:tcPr>
          <w:p>
            <w:pPr>
              <w:pStyle w:val="Normal"/>
              <w:jc w:val="center"/>
              <w:rPr>
                <w:rFonts w:ascii="Arial" w:hAnsi="Arial" w:cs="Arial"/>
                <w:b/>
                <w:color w:val="000000"/>
                <w:sz w:val="24"/>
              </w:rPr>
            </w:pPr>
            <w:r>
              <w:rPr>
                <w:rFonts w:cs="Arial" w:ascii="Arial" w:hAnsi="Arial"/>
                <w:b/>
                <w:color w:val="000000"/>
                <w:sz w:val="24"/>
              </w:rPr>
              <w:t>Item</w:t>
            </w:r>
          </w:p>
        </w:tc>
        <w:tc>
          <w:tcPr>
            <w:tcW w:w="1044" w:type="dxa"/>
            <w:tcBorders>
              <w:top w:val="single" w:sz="6" w:space="0" w:color="000000"/>
            </w:tcBorders>
          </w:tcPr>
          <w:p>
            <w:pPr>
              <w:pStyle w:val="Normal"/>
              <w:jc w:val="center"/>
              <w:rPr>
                <w:rFonts w:ascii="Arial" w:hAnsi="Arial" w:cs="Arial"/>
                <w:b/>
                <w:color w:val="000000"/>
                <w:sz w:val="24"/>
              </w:rPr>
            </w:pPr>
            <w:r>
              <w:rPr>
                <w:rFonts w:cs="Arial" w:ascii="Arial" w:hAnsi="Arial"/>
                <w:b/>
                <w:color w:val="000000"/>
                <w:sz w:val="24"/>
              </w:rPr>
              <w:t>Updated</w:t>
            </w:r>
          </w:p>
        </w:tc>
        <w:tc>
          <w:tcPr>
            <w:tcW w:w="4328" w:type="dxa"/>
            <w:tcBorders>
              <w:top w:val="single" w:sz="6" w:space="0" w:color="000000"/>
            </w:tcBorders>
          </w:tcPr>
          <w:p>
            <w:pPr>
              <w:pStyle w:val="Normal"/>
              <w:jc w:val="center"/>
              <w:rPr>
                <w:rFonts w:ascii="Arial" w:hAnsi="Arial" w:cs="Arial"/>
                <w:b/>
                <w:color w:val="000000"/>
                <w:sz w:val="24"/>
              </w:rPr>
            </w:pPr>
            <w:r>
              <w:rPr>
                <w:rFonts w:cs="Arial" w:ascii="Arial" w:hAnsi="Arial"/>
                <w:b/>
                <w:color w:val="000000"/>
                <w:sz w:val="24"/>
              </w:rPr>
              <w:t>Description</w:t>
            </w:r>
          </w:p>
        </w:tc>
        <w:tc>
          <w:tcPr>
            <w:tcW w:w="3960" w:type="dxa"/>
            <w:tcBorders>
              <w:top w:val="single" w:sz="6" w:space="0" w:color="000000"/>
              <w:end w:val="single" w:sz="6" w:space="0" w:color="000000"/>
            </w:tcBorders>
          </w:tcPr>
          <w:p>
            <w:pPr>
              <w:pStyle w:val="Normal"/>
              <w:jc w:val="center"/>
              <w:rPr>
                <w:rFonts w:ascii="Arial" w:hAnsi="Arial" w:cs="Arial"/>
                <w:b/>
                <w:color w:val="000000"/>
                <w:sz w:val="24"/>
              </w:rPr>
            </w:pPr>
            <w:r>
              <w:rPr>
                <w:rFonts w:cs="Arial" w:ascii="Arial" w:hAnsi="Arial"/>
                <w:b/>
                <w:color w:val="000000"/>
                <w:sz w:val="24"/>
              </w:rPr>
              <w:t>Status</w:t>
            </w:r>
          </w:p>
        </w:tc>
        <w:tc>
          <w:tcPr>
            <w:tcW w:w="3510" w:type="dxa"/>
            <w:tcBorders>
              <w:top w:val="single" w:sz="6" w:space="0" w:color="000000"/>
              <w:end w:val="single" w:sz="6" w:space="0" w:color="000000"/>
            </w:tcBorders>
          </w:tcPr>
          <w:p>
            <w:pPr>
              <w:pStyle w:val="Normal"/>
              <w:jc w:val="center"/>
              <w:rPr>
                <w:rFonts w:ascii="Arial" w:hAnsi="Arial" w:cs="Arial"/>
                <w:b/>
                <w:color w:val="000000"/>
                <w:sz w:val="24"/>
              </w:rPr>
            </w:pPr>
            <w:r>
              <w:rPr>
                <w:rFonts w:cs="Arial" w:ascii="Arial" w:hAnsi="Arial"/>
                <w:b/>
                <w:color w:val="000000"/>
                <w:sz w:val="24"/>
              </w:rPr>
              <w:t>Key Action Items</w:t>
            </w:r>
          </w:p>
        </w:tc>
      </w:tr>
      <w:tr>
        <w:trPr>
          <w:trHeight w:val="199" w:hRule="atLeast"/>
        </w:trPr>
        <w:tc>
          <w:tcPr>
            <w:tcW w:w="2218" w:type="dxa"/>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rPr>
            </w:pPr>
            <w:r>
              <w:rPr>
                <w:rFonts w:cs="Arial" w:ascii="Arial" w:hAnsi="Arial"/>
                <w:b/>
                <w:i/>
                <w:color w:val="FFFFFF"/>
              </w:rPr>
              <w:t xml:space="preserve">Legal Documents </w:t>
            </w:r>
          </w:p>
        </w:tc>
        <w:tc>
          <w:tcPr>
            <w:tcW w:w="1044"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rPr>
            </w:pPr>
            <w:r>
              <w:rPr>
                <w:rFonts w:cs="Arial" w:ascii="Arial" w:hAnsi="Arial"/>
                <w:color w:val="FFFFFF"/>
              </w:rPr>
            </w:r>
          </w:p>
        </w:tc>
      </w:tr>
      <w:tr>
        <w:trPr>
          <w:trHeight w:val="1392"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Hub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17-Nov</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enovate - PGL. enovate as agent for existing PGL Hub. $50,000/month administration fee, x% of profits.  LLC termination at either Member's election after June 25 if no executed agreement.  Needs to be submitted to ICC for approval. If satisfactory ICC approval is not received by 12/31/00, either member may elect to terminate the LLC.</w:t>
            </w:r>
          </w:p>
        </w:tc>
        <w:tc>
          <w:tcPr>
            <w:tcW w:w="3960" w:type="dxa"/>
            <w:tcBorders>
              <w:top w:val="single" w:sz="6" w:space="0" w:color="000000"/>
              <w:bottom w:val="single" w:sz="6" w:space="0" w:color="000000"/>
              <w:end w:val="single" w:sz="6" w:space="0" w:color="000000"/>
            </w:tcBorders>
          </w:tcPr>
          <w:p>
            <w:pPr>
              <w:pStyle w:val="Normal"/>
              <w:numPr>
                <w:ilvl w:val="0"/>
                <w:numId w:val="11"/>
              </w:numPr>
              <w:rPr>
                <w:rFonts w:ascii="Arial" w:hAnsi="Arial" w:cs="Arial"/>
                <w:color w:val="000000"/>
              </w:rPr>
            </w:pPr>
            <w:r>
              <w:rPr>
                <w:rFonts w:cs="Arial" w:ascii="Arial" w:hAnsi="Arial"/>
                <w:color w:val="000000"/>
              </w:rPr>
              <w:t>PEC internal discussions held 11/9</w:t>
            </w:r>
          </w:p>
          <w:p>
            <w:pPr>
              <w:pStyle w:val="Normal"/>
              <w:numPr>
                <w:ilvl w:val="0"/>
                <w:numId w:val="11"/>
              </w:numPr>
              <w:rPr>
                <w:rFonts w:ascii="Arial" w:hAnsi="Arial" w:cs="Arial"/>
                <w:color w:val="000000"/>
              </w:rPr>
            </w:pPr>
            <w:r>
              <w:rPr>
                <w:rFonts w:cs="Arial" w:ascii="Arial" w:hAnsi="Arial"/>
                <w:color w:val="000000"/>
              </w:rPr>
              <w:t>PEC preparing new draft with expected delivery early week of 11/20</w:t>
            </w:r>
          </w:p>
        </w:tc>
        <w:tc>
          <w:tcPr>
            <w:tcW w:w="3510" w:type="dxa"/>
            <w:tcBorders>
              <w:top w:val="single" w:sz="6" w:space="0" w:color="000000"/>
              <w:bottom w:val="single" w:sz="6" w:space="0" w:color="000000"/>
              <w:end w:val="single" w:sz="6" w:space="0" w:color="000000"/>
            </w:tcBorders>
          </w:tcPr>
          <w:p>
            <w:pPr>
              <w:pStyle w:val="Normal"/>
              <w:numPr>
                <w:ilvl w:val="0"/>
                <w:numId w:val="23"/>
              </w:numPr>
              <w:rPr>
                <w:rFonts w:ascii="Arial" w:hAnsi="Arial" w:cs="Arial"/>
                <w:color w:val="000000"/>
              </w:rPr>
            </w:pPr>
            <w:r>
              <w:rPr>
                <w:rFonts w:cs="Arial" w:ascii="Arial" w:hAnsi="Arial"/>
                <w:color w:val="000000"/>
              </w:rPr>
              <w:t>Enron review draft</w:t>
            </w:r>
          </w:p>
          <w:p>
            <w:pPr>
              <w:pStyle w:val="Normal"/>
              <w:numPr>
                <w:ilvl w:val="0"/>
                <w:numId w:val="23"/>
              </w:numPr>
              <w:rPr>
                <w:rFonts w:ascii="Arial" w:hAnsi="Arial" w:cs="Arial"/>
                <w:color w:val="000000"/>
              </w:rPr>
            </w:pPr>
            <w:r>
              <w:rPr>
                <w:rFonts w:cs="Arial" w:ascii="Arial" w:hAnsi="Arial"/>
                <w:color w:val="000000"/>
              </w:rPr>
              <w:t>Commercial meeting to discuss specifics of compensation</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PERC Peaking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enovate - PERC. enovate as agent for PERC Peaking facility. Profits shared subject to Transfer Price Agreement.</w:t>
            </w:r>
          </w:p>
        </w:tc>
        <w:tc>
          <w:tcPr>
            <w:tcW w:w="3960" w:type="dxa"/>
            <w:tcBorders>
              <w:top w:val="single" w:sz="6" w:space="0" w:color="000000"/>
              <w:bottom w:val="single" w:sz="6" w:space="0" w:color="000000"/>
              <w:end w:val="single" w:sz="6" w:space="0" w:color="000000"/>
            </w:tcBorders>
          </w:tcPr>
          <w:p>
            <w:pPr>
              <w:pStyle w:val="Normal"/>
              <w:numPr>
                <w:ilvl w:val="0"/>
                <w:numId w:val="18"/>
              </w:numPr>
              <w:rPr>
                <w:rFonts w:ascii="Arial" w:hAnsi="Arial" w:cs="Arial"/>
                <w:color w:val="000000"/>
              </w:rPr>
            </w:pPr>
            <w:r>
              <w:rPr>
                <w:rFonts w:cs="Arial" w:ascii="Arial" w:hAnsi="Arial"/>
                <w:color w:val="000000"/>
              </w:rPr>
              <w:t>No draft yet</w:t>
            </w:r>
          </w:p>
        </w:tc>
        <w:tc>
          <w:tcPr>
            <w:tcW w:w="3510" w:type="dxa"/>
            <w:tcBorders>
              <w:top w:val="single" w:sz="6" w:space="0" w:color="000000"/>
              <w:bottom w:val="single" w:sz="6" w:space="0" w:color="000000"/>
              <w:end w:val="single" w:sz="6" w:space="0" w:color="000000"/>
            </w:tcBorders>
          </w:tcPr>
          <w:p>
            <w:pPr>
              <w:pStyle w:val="Normal"/>
              <w:numPr>
                <w:ilvl w:val="0"/>
                <w:numId w:val="2"/>
              </w:numPr>
              <w:rPr>
                <w:rFonts w:ascii="Arial" w:hAnsi="Arial" w:cs="Arial"/>
                <w:color w:val="000000"/>
              </w:rPr>
            </w:pPr>
            <w:r>
              <w:rPr>
                <w:rFonts w:cs="Arial" w:ascii="Arial" w:hAnsi="Arial"/>
                <w:color w:val="000000"/>
              </w:rPr>
              <w:t xml:space="preserve">PEC commercial (Tim Hermann) to communicate concepts to PEC legal for first draft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Transfer Price Side Letter</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08-Dec</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enovate - PEC.  Transfer price arrangement for PGL Hub Services, Enhanced Hub Services, PERC Peaking and any other transactions.</w:t>
            </w:r>
          </w:p>
        </w:tc>
        <w:tc>
          <w:tcPr>
            <w:tcW w:w="3960" w:type="dxa"/>
            <w:tcBorders>
              <w:top w:val="single" w:sz="6" w:space="0" w:color="000000"/>
              <w:bottom w:val="single" w:sz="6" w:space="0" w:color="000000"/>
              <w:end w:val="single" w:sz="6" w:space="0" w:color="000000"/>
            </w:tcBorders>
            <w:shd w:fill="FFFF00" w:val="clear"/>
          </w:tcPr>
          <w:p>
            <w:pPr>
              <w:pStyle w:val="Normal"/>
              <w:numPr>
                <w:ilvl w:val="0"/>
                <w:numId w:val="25"/>
              </w:numPr>
              <w:rPr>
                <w:rFonts w:ascii="Arial" w:hAnsi="Arial" w:cs="Arial"/>
                <w:color w:val="000000"/>
              </w:rPr>
            </w:pPr>
            <w:r>
              <w:rPr>
                <w:rFonts w:cs="Arial" w:ascii="Arial" w:hAnsi="Arial"/>
                <w:color w:val="000000"/>
              </w:rPr>
              <w:t>Commercial meeting scheduled for 12/11 to discuss various alternatives</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3"/>
              </w:numPr>
              <w:rPr>
                <w:rFonts w:ascii="Arial" w:hAnsi="Arial" w:cs="Arial"/>
                <w:color w:val="000000"/>
              </w:rPr>
            </w:pPr>
            <w:r>
              <w:rPr>
                <w:rFonts w:cs="Arial" w:ascii="Arial" w:hAnsi="Arial"/>
                <w:color w:val="000000"/>
              </w:rPr>
              <w:t>Determine structure and documentation</w:t>
            </w:r>
          </w:p>
          <w:p>
            <w:pPr>
              <w:pStyle w:val="Normal"/>
              <w:rPr>
                <w:rFonts w:ascii="Arial" w:hAnsi="Arial" w:cs="Arial"/>
                <w:color w:val="000000"/>
              </w:rPr>
            </w:pPr>
            <w:r>
              <w:rPr>
                <w:rFonts w:cs="Arial" w:ascii="Arial" w:hAnsi="Arial"/>
                <w:color w:val="000000"/>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Third Party Master Purchase and Sale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enovate - Third Parties.  Preferred template agreement for physical transactions.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Complete.</w:t>
            </w:r>
          </w:p>
        </w:tc>
        <w:tc>
          <w:tcPr>
            <w:tcW w:w="3510" w:type="dxa"/>
            <w:tcBorders>
              <w:top w:val="single" w:sz="6" w:space="0" w:color="000000"/>
              <w:bottom w:val="single" w:sz="6" w:space="0" w:color="000000"/>
              <w:end w:val="single" w:sz="6" w:space="0" w:color="000000"/>
            </w:tcBorders>
          </w:tcPr>
          <w:p>
            <w:pPr>
              <w:pStyle w:val="Normal"/>
              <w:numPr>
                <w:ilvl w:val="0"/>
                <w:numId w:val="24"/>
              </w:numPr>
              <w:rPr>
                <w:rFonts w:ascii="Arial" w:hAnsi="Arial" w:cs="Arial"/>
                <w:color w:val="000000"/>
              </w:rPr>
            </w:pPr>
            <w:r>
              <w:rPr>
                <w:rFonts w:cs="Arial" w:ascii="Arial" w:hAnsi="Arial"/>
                <w:color w:val="000000"/>
              </w:rPr>
              <w:t>Distribute to potential counterparties for review immediately</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GISB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enovate - Third Parties.  Alternate agreement for physical transactions with third parties that won't execute Master Purchase and Sale Agreement</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Complete.</w:t>
            </w:r>
          </w:p>
        </w:tc>
        <w:tc>
          <w:tcPr>
            <w:tcW w:w="3510" w:type="dxa"/>
            <w:tcBorders>
              <w:top w:val="single" w:sz="6" w:space="0" w:color="000000"/>
              <w:bottom w:val="single" w:sz="6" w:space="0" w:color="000000"/>
              <w:end w:val="single" w:sz="6" w:space="0" w:color="000000"/>
            </w:tcBorders>
          </w:tcPr>
          <w:p>
            <w:pPr>
              <w:pStyle w:val="Normal"/>
              <w:numPr>
                <w:ilvl w:val="0"/>
                <w:numId w:val="24"/>
              </w:numPr>
              <w:rPr>
                <w:rFonts w:ascii="Arial" w:hAnsi="Arial" w:cs="Arial"/>
                <w:color w:val="000000"/>
              </w:rPr>
            </w:pPr>
            <w:r>
              <w:rPr>
                <w:rFonts w:cs="Arial" w:ascii="Arial" w:hAnsi="Arial"/>
                <w:color w:val="000000"/>
              </w:rPr>
              <w:t>Distribute to potential counterparties for review immediately</w:t>
            </w:r>
          </w:p>
        </w:tc>
      </w:tr>
      <w:tr>
        <w:trPr>
          <w:trHeight w:val="420"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Third Party Parent Guarantee</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Parents - Third Parties.  Preferred template agreement for parent guarantees.  Determine procedure for issuing/negotiating guarantees.</w:t>
            </w:r>
          </w:p>
        </w:tc>
        <w:tc>
          <w:tcPr>
            <w:tcW w:w="39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bCs/>
                <w:i/>
                <w:i/>
                <w:iCs/>
                <w:color w:val="000000"/>
              </w:rPr>
            </w:pPr>
            <w:r>
              <w:rPr>
                <w:rFonts w:cs="Arial" w:ascii="Arial" w:hAnsi="Arial"/>
                <w:b/>
                <w:bCs/>
                <w:i/>
                <w:iCs/>
                <w:color w:val="000000"/>
              </w:rPr>
              <w:t>Complete.</w:t>
            </w:r>
          </w:p>
          <w:p>
            <w:pPr>
              <w:pStyle w:val="Normal"/>
              <w:numPr>
                <w:ilvl w:val="0"/>
                <w:numId w:val="24"/>
              </w:numPr>
              <w:rPr>
                <w:rFonts w:ascii="Arial" w:hAnsi="Arial" w:cs="Arial"/>
                <w:color w:val="000000"/>
              </w:rPr>
            </w:pPr>
            <w:r>
              <w:rPr>
                <w:rFonts w:cs="Arial" w:ascii="Arial" w:hAnsi="Arial"/>
                <w:color w:val="000000"/>
              </w:rPr>
              <w:t>PEC and ENA have each provided individual templates for distribution to 3</w:t>
            </w:r>
            <w:r>
              <w:rPr>
                <w:rFonts w:cs="Arial" w:ascii="Arial" w:hAnsi="Arial"/>
                <w:color w:val="000000"/>
                <w:vertAlign w:val="superscript"/>
              </w:rPr>
              <w:t>rd</w:t>
            </w:r>
            <w:r>
              <w:rPr>
                <w:rFonts w:cs="Arial" w:ascii="Arial" w:hAnsi="Arial"/>
                <w:color w:val="000000"/>
              </w:rPr>
              <w:t xml:space="preserve"> parties</w:t>
            </w:r>
          </w:p>
          <w:p>
            <w:pPr>
              <w:pStyle w:val="Normal"/>
              <w:numPr>
                <w:ilvl w:val="0"/>
                <w:numId w:val="24"/>
              </w:numPr>
              <w:rPr>
                <w:rFonts w:ascii="Arial" w:hAnsi="Arial" w:cs="Arial"/>
                <w:color w:val="000000"/>
              </w:rPr>
            </w:pPr>
            <w:r>
              <w:rPr>
                <w:rFonts w:cs="Arial" w:ascii="Arial" w:hAnsi="Arial"/>
                <w:color w:val="000000"/>
              </w:rPr>
              <w:t>PEC and ENA will negotiate guarantees separately</w:t>
            </w:r>
          </w:p>
          <w:p>
            <w:pPr>
              <w:pStyle w:val="Normal"/>
              <w:numPr>
                <w:ilvl w:val="0"/>
                <w:numId w:val="24"/>
              </w:numPr>
              <w:rPr>
                <w:rFonts w:ascii="Arial" w:hAnsi="Arial" w:cs="Arial"/>
                <w:color w:val="000000"/>
              </w:rPr>
            </w:pPr>
            <w:r>
              <w:rPr>
                <w:rFonts w:cs="Arial" w:ascii="Arial" w:hAnsi="Arial"/>
                <w:color w:val="000000"/>
              </w:rPr>
              <w:t>Discussions will continue regarding potential of moving towards a common guarantee form</w:t>
            </w:r>
          </w:p>
        </w:tc>
        <w:tc>
          <w:tcPr>
            <w:tcW w:w="3510" w:type="dxa"/>
            <w:tcBorders>
              <w:top w:val="single" w:sz="6" w:space="0" w:color="000000"/>
              <w:bottom w:val="single" w:sz="6" w:space="0" w:color="000000"/>
              <w:end w:val="single" w:sz="6" w:space="0" w:color="000000"/>
            </w:tcBorders>
          </w:tcPr>
          <w:p>
            <w:pPr>
              <w:pStyle w:val="Normal"/>
              <w:numPr>
                <w:ilvl w:val="0"/>
                <w:numId w:val="13"/>
              </w:numPr>
              <w:rPr>
                <w:rFonts w:ascii="Arial" w:hAnsi="Arial" w:cs="Arial"/>
                <w:color w:val="000000"/>
              </w:rPr>
            </w:pPr>
            <w:r>
              <w:rPr>
                <w:rFonts w:cs="Arial" w:ascii="Arial" w:hAnsi="Arial"/>
                <w:color w:val="000000"/>
              </w:rPr>
              <w:t>Distribute to counterparties upon request</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ISDA Agreements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enovate - Third Parties.  Preferred template agreements for Schedule to Master Agreement and Paragraph 13 to Credit Support Annex for financial transactions.  </w:t>
            </w:r>
          </w:p>
        </w:tc>
        <w:tc>
          <w:tcPr>
            <w:tcW w:w="3960" w:type="dxa"/>
            <w:tcBorders>
              <w:top w:val="single" w:sz="6" w:space="0" w:color="000000"/>
              <w:bottom w:val="single" w:sz="6" w:space="0" w:color="000000"/>
              <w:end w:val="single" w:sz="6" w:space="0" w:color="000000"/>
            </w:tcBorders>
          </w:tcPr>
          <w:p>
            <w:pPr>
              <w:pStyle w:val="Normal"/>
              <w:numPr>
                <w:ilvl w:val="0"/>
                <w:numId w:val="19"/>
              </w:numPr>
              <w:rPr>
                <w:rFonts w:ascii="Arial" w:hAnsi="Arial" w:cs="Arial"/>
                <w:color w:val="000000"/>
              </w:rPr>
            </w:pPr>
            <w:r>
              <w:rPr>
                <w:rFonts w:cs="Arial" w:ascii="Arial" w:hAnsi="Arial"/>
                <w:color w:val="000000"/>
              </w:rPr>
              <w:t>Discussions held 10/23</w:t>
            </w:r>
          </w:p>
          <w:p>
            <w:pPr>
              <w:pStyle w:val="Normal"/>
              <w:numPr>
                <w:ilvl w:val="0"/>
                <w:numId w:val="19"/>
              </w:numPr>
              <w:rPr>
                <w:rFonts w:ascii="Arial" w:hAnsi="Arial" w:cs="Arial"/>
                <w:color w:val="000000"/>
              </w:rPr>
            </w:pPr>
            <w:r>
              <w:rPr>
                <w:rFonts w:cs="Arial" w:ascii="Arial" w:hAnsi="Arial"/>
                <w:color w:val="000000"/>
              </w:rPr>
              <w:t>PEC to provide comments on Enron ISDA form</w:t>
            </w:r>
          </w:p>
        </w:tc>
        <w:tc>
          <w:tcPr>
            <w:tcW w:w="3510" w:type="dxa"/>
            <w:tcBorders>
              <w:top w:val="single" w:sz="6" w:space="0" w:color="000000"/>
              <w:bottom w:val="single" w:sz="6" w:space="0" w:color="000000"/>
              <w:end w:val="single" w:sz="6" w:space="0" w:color="000000"/>
            </w:tcBorders>
          </w:tcPr>
          <w:p>
            <w:pPr>
              <w:pStyle w:val="Normal"/>
              <w:numPr>
                <w:ilvl w:val="0"/>
                <w:numId w:val="17"/>
              </w:numPr>
              <w:rPr>
                <w:rFonts w:ascii="Arial" w:hAnsi="Arial" w:cs="Arial"/>
                <w:color w:val="000000"/>
              </w:rPr>
            </w:pPr>
            <w:r>
              <w:rPr>
                <w:rFonts w:cs="Arial" w:ascii="Arial" w:hAnsi="Arial"/>
                <w:color w:val="000000"/>
              </w:rPr>
              <w:t>PEC and Enron joint development of initial templates</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Affiliate Master Purchase and Sale Agreement</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08-Dec</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 xml:space="preserve">enovate - PGL. Blanket filing with ICC for physical transactions. Individual transactions will be attached as confirmations. </w:t>
            </w:r>
          </w:p>
        </w:tc>
        <w:tc>
          <w:tcPr>
            <w:tcW w:w="3960" w:type="dxa"/>
            <w:tcBorders>
              <w:top w:val="single" w:sz="6" w:space="0" w:color="000000"/>
              <w:bottom w:val="single" w:sz="6" w:space="0" w:color="000000"/>
              <w:end w:val="single" w:sz="6" w:space="0" w:color="000000"/>
            </w:tcBorders>
            <w:shd w:fill="FFFF00" w:val="clear"/>
          </w:tcPr>
          <w:p>
            <w:pPr>
              <w:pStyle w:val="Normal"/>
              <w:rPr>
                <w:rFonts w:ascii="Arial" w:hAnsi="Arial" w:cs="Arial"/>
                <w:b/>
                <w:i/>
                <w:i/>
                <w:color w:val="000000"/>
              </w:rPr>
            </w:pPr>
            <w:r>
              <w:rPr>
                <w:rFonts w:cs="Arial" w:ascii="Arial" w:hAnsi="Arial"/>
                <w:b/>
                <w:i/>
                <w:color w:val="000000"/>
              </w:rPr>
              <w:t>Complete.</w:t>
            </w:r>
          </w:p>
          <w:p>
            <w:pPr>
              <w:pStyle w:val="Normal"/>
              <w:numPr>
                <w:ilvl w:val="0"/>
                <w:numId w:val="14"/>
              </w:numPr>
              <w:rPr>
                <w:rFonts w:ascii="Arial" w:hAnsi="Arial" w:cs="Arial"/>
                <w:color w:val="000000"/>
              </w:rPr>
            </w:pPr>
            <w:r>
              <w:rPr>
                <w:rFonts w:cs="Arial" w:ascii="Arial" w:hAnsi="Arial"/>
                <w:color w:val="000000"/>
              </w:rPr>
              <w:t>Fully executed agreements</w:t>
            </w:r>
          </w:p>
          <w:p>
            <w:pPr>
              <w:pStyle w:val="Normal"/>
              <w:numPr>
                <w:ilvl w:val="0"/>
                <w:numId w:val="14"/>
              </w:numPr>
              <w:rPr>
                <w:rFonts w:ascii="Arial" w:hAnsi="Arial" w:cs="Arial"/>
                <w:color w:val="000000"/>
              </w:rPr>
            </w:pPr>
            <w:r>
              <w:rPr>
                <w:rFonts w:cs="Arial" w:ascii="Arial" w:hAnsi="Arial"/>
                <w:color w:val="000000"/>
              </w:rPr>
              <w:t>Testimony and petition have been submitted to the ICC for approval</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7"/>
              </w:numPr>
              <w:rPr>
                <w:rFonts w:ascii="Arial" w:hAnsi="Arial" w:cs="Arial"/>
                <w:color w:val="000000"/>
              </w:rPr>
            </w:pPr>
            <w:r>
              <w:rPr>
                <w:rFonts w:cs="Arial" w:ascii="Arial" w:hAnsi="Arial"/>
                <w:color w:val="000000"/>
              </w:rPr>
              <w:t xml:space="preserve">PEC response to ICC staff data request </w:t>
            </w:r>
          </w:p>
        </w:tc>
      </w:tr>
      <w:tr>
        <w:trPr>
          <w:trHeight w:val="199"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Confidentiality Agreements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17-Nov</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CA for transactional information, such as forward curves, related to enovate under the risk management policy</w:t>
            </w:r>
          </w:p>
        </w:tc>
        <w:tc>
          <w:tcPr>
            <w:tcW w:w="3960" w:type="dxa"/>
            <w:tcBorders>
              <w:top w:val="single" w:sz="6" w:space="0" w:color="000000"/>
              <w:bottom w:val="single" w:sz="6" w:space="0" w:color="000000"/>
              <w:end w:val="single" w:sz="6" w:space="0" w:color="000000"/>
            </w:tcBorders>
          </w:tcPr>
          <w:p>
            <w:pPr>
              <w:pStyle w:val="Normal"/>
              <w:numPr>
                <w:ilvl w:val="0"/>
                <w:numId w:val="5"/>
              </w:numPr>
              <w:rPr>
                <w:rFonts w:ascii="Arial" w:hAnsi="Arial" w:cs="Arial"/>
                <w:color w:val="000000"/>
              </w:rPr>
            </w:pPr>
            <w:r>
              <w:rPr>
                <w:rFonts w:cs="Arial" w:ascii="Arial" w:hAnsi="Arial"/>
                <w:color w:val="000000"/>
              </w:rPr>
              <w:t>CA sent to PEC 11/13 for review and comment</w:t>
            </w:r>
          </w:p>
        </w:tc>
        <w:tc>
          <w:tcPr>
            <w:tcW w:w="3510" w:type="dxa"/>
            <w:tcBorders>
              <w:top w:val="single" w:sz="6" w:space="0" w:color="000000"/>
              <w:bottom w:val="single" w:sz="6" w:space="0" w:color="000000"/>
              <w:end w:val="single" w:sz="6" w:space="0" w:color="000000"/>
            </w:tcBorders>
          </w:tcPr>
          <w:p>
            <w:pPr>
              <w:pStyle w:val="Normal"/>
              <w:numPr>
                <w:ilvl w:val="0"/>
                <w:numId w:val="10"/>
              </w:numPr>
              <w:rPr>
                <w:rFonts w:ascii="Arial" w:hAnsi="Arial" w:cs="Arial"/>
                <w:color w:val="000000"/>
              </w:rPr>
            </w:pPr>
            <w:r>
              <w:rPr>
                <w:rFonts w:cs="Arial" w:ascii="Arial" w:hAnsi="Arial"/>
                <w:color w:val="000000"/>
              </w:rPr>
              <w:t xml:space="preserve">PEC legal review and comment </w:t>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LLC Loan Facility Agreement</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08-Dec</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Establish funding vehicle for enovate working capital requirements.</w:t>
            </w:r>
          </w:p>
        </w:tc>
        <w:tc>
          <w:tcPr>
            <w:tcW w:w="3960" w:type="dxa"/>
            <w:tcBorders>
              <w:top w:val="single" w:sz="6" w:space="0" w:color="000000"/>
              <w:start w:val="single" w:sz="6" w:space="0" w:color="000000"/>
              <w:bottom w:val="single" w:sz="6" w:space="0" w:color="000000"/>
              <w:end w:val="single" w:sz="6" w:space="0" w:color="000000"/>
            </w:tcBorders>
            <w:shd w:fill="FFFF00" w:val="clear"/>
          </w:tcPr>
          <w:p>
            <w:pPr>
              <w:pStyle w:val="Normal"/>
              <w:numPr>
                <w:ilvl w:val="0"/>
                <w:numId w:val="21"/>
              </w:numPr>
              <w:rPr>
                <w:rFonts w:ascii="Arial" w:hAnsi="Arial" w:cs="Arial"/>
                <w:color w:val="000000"/>
              </w:rPr>
            </w:pPr>
            <w:r>
              <w:rPr>
                <w:rFonts w:cs="Arial" w:ascii="Arial" w:hAnsi="Arial"/>
                <w:color w:val="000000"/>
              </w:rPr>
              <w:t>enovate is expected to have a long cash position over year end</w:t>
            </w:r>
          </w:p>
          <w:p>
            <w:pPr>
              <w:pStyle w:val="Normal"/>
              <w:numPr>
                <w:ilvl w:val="0"/>
                <w:numId w:val="21"/>
              </w:numPr>
              <w:rPr>
                <w:rFonts w:ascii="Arial" w:hAnsi="Arial" w:cs="Arial"/>
                <w:color w:val="000000"/>
              </w:rPr>
            </w:pPr>
            <w:r>
              <w:rPr>
                <w:rFonts w:cs="Arial" w:ascii="Arial" w:hAnsi="Arial"/>
                <w:color w:val="000000"/>
              </w:rPr>
              <w:t>Therefore, due to year end pricing premiums, enovate will wait until January to put facility in place</w:t>
            </w:r>
          </w:p>
        </w:tc>
        <w:tc>
          <w:tcPr>
            <w:tcW w:w="3510" w:type="dxa"/>
            <w:tcBorders>
              <w:top w:val="single" w:sz="6" w:space="0" w:color="000000"/>
              <w:start w:val="single" w:sz="6" w:space="0" w:color="000000"/>
              <w:bottom w:val="single" w:sz="6" w:space="0" w:color="000000"/>
              <w:end w:val="single" w:sz="6" w:space="0" w:color="000000"/>
            </w:tcBorders>
            <w:shd w:fill="FFFF00" w:val="clear"/>
          </w:tcPr>
          <w:p>
            <w:pPr>
              <w:pStyle w:val="Normal"/>
              <w:numPr>
                <w:ilvl w:val="0"/>
                <w:numId w:val="6"/>
              </w:numPr>
              <w:rPr>
                <w:rFonts w:ascii="Arial" w:hAnsi="Arial" w:cs="Arial"/>
                <w:color w:val="000000"/>
              </w:rPr>
            </w:pPr>
            <w:r>
              <w:rPr>
                <w:rFonts w:cs="Arial" w:ascii="Arial" w:hAnsi="Arial"/>
                <w:color w:val="000000"/>
              </w:rPr>
              <w:t>Review accounting treatment and evaluate cost structure</w:t>
            </w:r>
          </w:p>
        </w:tc>
      </w:tr>
      <w:tr>
        <w:trPr>
          <w:trHeight w:val="199" w:hRule="atLeast"/>
        </w:trPr>
        <w:tc>
          <w:tcPr>
            <w:tcW w:w="3262" w:type="dxa"/>
            <w:gridSpan w:val="2"/>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rPr>
            </w:pPr>
            <w:r>
              <w:rPr>
                <w:rFonts w:cs="Arial" w:ascii="Arial" w:hAnsi="Arial"/>
                <w:b/>
                <w:i/>
                <w:color w:val="FFFFFF"/>
              </w:rPr>
              <w:t>Policies and Procedures</w:t>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color w:val="FFFFFF"/>
              </w:rPr>
            </w:pPr>
            <w:r>
              <w:rPr>
                <w:rFonts w:cs="Arial" w:ascii="Arial" w:hAnsi="Arial"/>
                <w:color w:val="FFFFFF"/>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rPr>
            </w:pPr>
            <w:r>
              <w:rPr>
                <w:rFonts w:cs="Arial" w:ascii="Arial" w:hAnsi="Arial"/>
                <w:color w:val="FFFFFF"/>
              </w:rPr>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Risk Management Policy</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Risk policy establishing limits, notifications, approved traders, etc.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rPr>
                <w:rFonts w:ascii="Arial" w:hAnsi="Arial" w:cs="Arial"/>
                <w:b/>
                <w:bCs/>
                <w:i/>
                <w:i/>
                <w:iCs/>
                <w:color w:val="000000"/>
              </w:rPr>
            </w:pPr>
            <w:r>
              <w:rPr>
                <w:rFonts w:cs="Arial" w:ascii="Arial" w:hAnsi="Arial"/>
                <w:b/>
                <w:bCs/>
                <w:i/>
                <w:iCs/>
                <w:color w:val="000000"/>
              </w:rPr>
              <w:t>Complete.</w:t>
            </w:r>
          </w:p>
          <w:p>
            <w:pPr>
              <w:pStyle w:val="Normal"/>
              <w:numPr>
                <w:ilvl w:val="0"/>
                <w:numId w:val="16"/>
              </w:numPr>
              <w:rPr>
                <w:rFonts w:ascii="Arial" w:hAnsi="Arial" w:cs="Arial"/>
                <w:color w:val="000000"/>
              </w:rPr>
            </w:pPr>
            <w:r>
              <w:rPr>
                <w:rFonts w:cs="Arial" w:ascii="Arial" w:hAnsi="Arial"/>
                <w:color w:val="000000"/>
              </w:rPr>
              <w:t>All approvals have been received</w:t>
            </w:r>
          </w:p>
          <w:p>
            <w:pPr>
              <w:pStyle w:val="Normal"/>
              <w:numPr>
                <w:ilvl w:val="0"/>
                <w:numId w:val="16"/>
              </w:numPr>
              <w:rPr>
                <w:rFonts w:ascii="Arial" w:hAnsi="Arial" w:cs="Arial"/>
                <w:color w:val="000000"/>
              </w:rPr>
            </w:pPr>
            <w:r>
              <w:rPr>
                <w:rFonts w:cs="Arial" w:ascii="Arial" w:hAnsi="Arial"/>
                <w:color w:val="000000"/>
              </w:rPr>
              <w:t>Final execution expected later this afternoon</w:t>
            </w:r>
          </w:p>
        </w:tc>
        <w:tc>
          <w:tcPr>
            <w:tcW w:w="3510" w:type="dxa"/>
            <w:tcBorders>
              <w:top w:val="single" w:sz="6" w:space="0" w:color="000000"/>
              <w:bottom w:val="single" w:sz="6" w:space="0" w:color="000000"/>
              <w:end w:val="single" w:sz="6" w:space="0" w:color="000000"/>
            </w:tcBorders>
          </w:tcPr>
          <w:p>
            <w:pPr>
              <w:pStyle w:val="Normal"/>
              <w:numPr>
                <w:ilvl w:val="0"/>
                <w:numId w:val="8"/>
              </w:numPr>
              <w:tabs>
                <w:tab w:val="clear" w:pos="720"/>
                <w:tab w:val="left" w:pos="330" w:leader="none"/>
              </w:tabs>
              <w:ind w:hanging="360" w:start="360" w:end="0"/>
              <w:rPr>
                <w:rFonts w:ascii="Arial" w:hAnsi="Arial" w:cs="Arial"/>
                <w:color w:val="000000"/>
              </w:rPr>
            </w:pPr>
            <w:r>
              <w:rPr>
                <w:rFonts w:cs="Arial" w:ascii="Arial" w:hAnsi="Arial"/>
                <w:color w:val="000000"/>
              </w:rPr>
              <w:t>Execute trader compliance certificates</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Risk Procedures and Control Guidelines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Transaction flow process from deal inception to collection of receivable.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rPr>
                <w:rFonts w:ascii="Arial" w:hAnsi="Arial" w:cs="Arial"/>
                <w:b/>
                <w:bCs/>
                <w:i/>
                <w:i/>
                <w:iCs/>
                <w:color w:val="000000"/>
              </w:rPr>
            </w:pPr>
            <w:r>
              <w:rPr>
                <w:rFonts w:cs="Arial" w:ascii="Arial" w:hAnsi="Arial"/>
                <w:b/>
                <w:bCs/>
                <w:i/>
                <w:iCs/>
                <w:color w:val="000000"/>
              </w:rPr>
              <w:t>Complete.</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b/>
                <w:bCs/>
                <w:i/>
                <w:i/>
                <w:iCs/>
                <w:color w:val="000000"/>
              </w:rPr>
            </w:pPr>
            <w:r>
              <w:rPr>
                <w:rFonts w:cs="Arial" w:ascii="Arial" w:hAnsi="Arial"/>
                <w:b/>
                <w:bCs/>
                <w:i/>
                <w:iCs/>
                <w:color w:val="000000"/>
              </w:rPr>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Credit Policy</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Approved counterparties, credit limits and ongoing credit process management.  LLC termination option at either Member's election until approved.</w:t>
            </w:r>
          </w:p>
        </w:tc>
        <w:tc>
          <w:tcPr>
            <w:tcW w:w="3960" w:type="dxa"/>
            <w:tcBorders>
              <w:top w:val="single" w:sz="6" w:space="0" w:color="000000"/>
              <w:bottom w:val="single" w:sz="6" w:space="0" w:color="000000"/>
              <w:end w:val="single" w:sz="6" w:space="0" w:color="000000"/>
            </w:tcBorders>
          </w:tcPr>
          <w:p>
            <w:pPr>
              <w:pStyle w:val="Normal"/>
              <w:rPr>
                <w:rFonts w:ascii="Arial" w:hAnsi="Arial" w:cs="Arial"/>
                <w:b/>
                <w:bCs/>
                <w:i/>
                <w:i/>
                <w:iCs/>
                <w:color w:val="000000"/>
              </w:rPr>
            </w:pPr>
            <w:r>
              <w:rPr>
                <w:rFonts w:cs="Arial" w:ascii="Arial" w:hAnsi="Arial"/>
                <w:b/>
                <w:bCs/>
                <w:i/>
                <w:iCs/>
                <w:color w:val="000000"/>
              </w:rPr>
              <w:t>Complete.</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b/>
                <w:bCs/>
                <w:i/>
                <w:i/>
                <w:iCs/>
                <w:color w:val="000000"/>
              </w:rPr>
            </w:pPr>
            <w:r>
              <w:rPr>
                <w:rFonts w:cs="Arial" w:ascii="Arial" w:hAnsi="Arial"/>
                <w:b/>
                <w:bCs/>
                <w:i/>
                <w:iCs/>
                <w:color w:val="000000"/>
              </w:rPr>
            </w:r>
          </w:p>
        </w:tc>
      </w:tr>
      <w:tr>
        <w:trPr>
          <w:trHeight w:val="199" w:hRule="atLeast"/>
        </w:trPr>
        <w:tc>
          <w:tcPr>
            <w:tcW w:w="2218" w:type="dxa"/>
            <w:tcBorders>
              <w:start w:val="single" w:sz="6" w:space="0" w:color="000000"/>
            </w:tcBorders>
            <w:shd w:fill="A5A5A5" w:val="clear"/>
          </w:tcPr>
          <w:p>
            <w:pPr>
              <w:pStyle w:val="Normal"/>
              <w:rPr>
                <w:rFonts w:ascii="Arial" w:hAnsi="Arial" w:cs="Arial"/>
                <w:b/>
                <w:i/>
                <w:i/>
                <w:color w:val="FFFFFF"/>
              </w:rPr>
            </w:pPr>
            <w:r>
              <w:rPr>
                <w:rFonts w:cs="Arial" w:ascii="Arial" w:hAnsi="Arial"/>
                <w:b/>
                <w:i/>
                <w:color w:val="FFFFFF"/>
              </w:rPr>
              <w:t>Administrative</w:t>
            </w:r>
          </w:p>
        </w:tc>
        <w:tc>
          <w:tcPr>
            <w:tcW w:w="1044" w:type="dxa"/>
            <w:tcBorders/>
            <w:shd w:fill="A5A5A5" w:val="clear"/>
          </w:tcPr>
          <w:p>
            <w:pPr>
              <w:pStyle w:val="Normal"/>
              <w:snapToGrid w:val="false"/>
              <w:jc w:val="center"/>
              <w:rPr>
                <w:rFonts w:ascii="Arial" w:hAnsi="Arial" w:cs="Arial"/>
                <w:b/>
                <w:i/>
                <w:i/>
                <w:color w:val="FFFFFF"/>
              </w:rPr>
            </w:pPr>
            <w:r>
              <w:rPr>
                <w:rFonts w:cs="Arial" w:ascii="Arial" w:hAnsi="Arial"/>
                <w:b/>
                <w:i/>
                <w:color w:val="FFFFFF"/>
              </w:rPr>
            </w:r>
          </w:p>
        </w:tc>
        <w:tc>
          <w:tcPr>
            <w:tcW w:w="4328" w:type="dxa"/>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3960" w:type="dxa"/>
            <w:tcBorders/>
            <w:shd w:fill="A5A5A5" w:val="clear"/>
          </w:tcPr>
          <w:p>
            <w:pPr>
              <w:pStyle w:val="Normal"/>
              <w:snapToGrid w:val="false"/>
              <w:jc w:val="end"/>
              <w:rPr>
                <w:rFonts w:ascii="Arial" w:hAnsi="Arial" w:cs="Arial"/>
                <w:color w:val="FFFFFF"/>
              </w:rPr>
            </w:pPr>
            <w:r>
              <w:rPr>
                <w:rFonts w:cs="Arial" w:ascii="Arial" w:hAnsi="Arial"/>
                <w:color w:val="FFFFFF"/>
              </w:rPr>
            </w:r>
          </w:p>
        </w:tc>
        <w:tc>
          <w:tcPr>
            <w:tcW w:w="3510" w:type="dxa"/>
            <w:tcBorders>
              <w:end w:val="single" w:sz="6" w:space="0" w:color="000000"/>
            </w:tcBorders>
            <w:shd w:fill="A5A5A5" w:val="clear"/>
          </w:tcPr>
          <w:p>
            <w:pPr>
              <w:pStyle w:val="Normal"/>
              <w:snapToGrid w:val="false"/>
              <w:jc w:val="end"/>
              <w:rPr>
                <w:rFonts w:ascii="Arial" w:hAnsi="Arial" w:cs="Arial"/>
                <w:color w:val="FFFFFF"/>
              </w:rPr>
            </w:pPr>
            <w:r>
              <w:rPr>
                <w:rFonts w:cs="Arial" w:ascii="Arial" w:hAnsi="Arial"/>
                <w:color w:val="FFFFFF"/>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Setup and fund bank account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Establish LLC bank account and make initial funding of $100,000 each.</w:t>
            </w:r>
          </w:p>
        </w:tc>
        <w:tc>
          <w:tcPr>
            <w:tcW w:w="3960" w:type="dxa"/>
            <w:tcBorders>
              <w:top w:val="single" w:sz="6" w:space="0" w:color="000000"/>
              <w:bottom w:val="single" w:sz="6" w:space="0" w:color="000000"/>
              <w:end w:val="single" w:sz="6" w:space="0" w:color="000000"/>
            </w:tcBorders>
          </w:tcPr>
          <w:p>
            <w:pPr>
              <w:pStyle w:val="Heading2"/>
              <w:ind w:hanging="0" w:start="0"/>
              <w:rPr/>
            </w:pPr>
            <w:r>
              <w:rPr/>
              <w:t>Complete.</w:t>
            </w:r>
          </w:p>
          <w:p>
            <w:pPr>
              <w:pStyle w:val="Normal"/>
              <w:rPr>
                <w:rFonts w:ascii="Arial" w:hAnsi="Arial" w:cs="Arial"/>
                <w:color w:val="000000"/>
              </w:rPr>
            </w:pPr>
            <w:r>
              <w:rPr>
                <w:rFonts w:cs="Arial" w:ascii="Arial" w:hAnsi="Arial"/>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Accounting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Establish financial reporting, including variance explanation, process, address MTM vs. accrual issues, document audit procedures, etc.</w:t>
            </w:r>
          </w:p>
        </w:tc>
        <w:tc>
          <w:tcPr>
            <w:tcW w:w="3960" w:type="dxa"/>
            <w:tcBorders>
              <w:top w:val="single" w:sz="6" w:space="0" w:color="000000"/>
              <w:bottom w:val="single" w:sz="6" w:space="0" w:color="000000"/>
              <w:end w:val="single" w:sz="6" w:space="0" w:color="000000"/>
            </w:tcBorders>
          </w:tcPr>
          <w:p>
            <w:pPr>
              <w:pStyle w:val="Heading2"/>
              <w:ind w:hanging="0" w:start="0"/>
              <w:rPr/>
            </w:pPr>
            <w:r>
              <w:rPr/>
              <w:t>Complete.</w:t>
            </w:r>
          </w:p>
          <w:p>
            <w:pPr>
              <w:pStyle w:val="Header"/>
              <w:tabs>
                <w:tab w:val="clear" w:pos="4320"/>
                <w:tab w:val="clear" w:pos="8640"/>
              </w:tabs>
              <w:rPr>
                <w:rFonts w:ascii="Arial" w:hAnsi="Arial" w:cs="Arial"/>
              </w:rPr>
            </w:pPr>
            <w:r>
              <w:rPr>
                <w:rFonts w:cs="Arial" w:ascii="Arial" w:hAnsi="Arial"/>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Tax</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Confirm tax treatment of enovate structure.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rPr>
              <w:t xml:space="preserve">Complete. </w:t>
            </w:r>
            <w:r>
              <w:rPr>
                <w:rFonts w:cs="Arial" w:ascii="Arial" w:hAnsi="Arial"/>
                <w:color w:val="000000"/>
              </w:rPr>
              <w:t xml:space="preserve"> </w:t>
            </w:r>
          </w:p>
          <w:p>
            <w:pPr>
              <w:pStyle w:val="Normal"/>
              <w:rPr>
                <w:rFonts w:ascii="Arial" w:hAnsi="Arial" w:cs="Arial"/>
                <w:color w:val="000000"/>
              </w:rPr>
            </w:pPr>
            <w:r>
              <w:rPr>
                <w:rFonts w:cs="Arial" w:ascii="Arial" w:hAnsi="Arial"/>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Qualify enovate</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Qualify enovate to conduct business in Midwest states.</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rPr>
              <w:t xml:space="preserve">Complete. </w:t>
            </w:r>
            <w:r>
              <w:rPr>
                <w:rFonts w:cs="Arial" w:ascii="Arial" w:hAnsi="Arial"/>
                <w:color w:val="000000"/>
              </w:rPr>
              <w:t xml:space="preserve"> </w:t>
            </w:r>
          </w:p>
          <w:p>
            <w:pPr>
              <w:pStyle w:val="Normal"/>
              <w:rPr>
                <w:rFonts w:ascii="Arial" w:hAnsi="Arial" w:cs="Arial"/>
                <w:color w:val="000000"/>
              </w:rPr>
            </w:pPr>
            <w:r>
              <w:rPr>
                <w:rFonts w:cs="Arial" w:ascii="Arial" w:hAnsi="Arial"/>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Marketing materials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Prepare LLC marketing materials describing business, products and potential contracts.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 xml:space="preserve">Complete.  </w:t>
            </w:r>
          </w:p>
        </w:tc>
        <w:tc>
          <w:tcPr>
            <w:tcW w:w="3510" w:type="dxa"/>
            <w:tcBorders>
              <w:top w:val="single" w:sz="6" w:space="0" w:color="000000"/>
              <w:bottom w:val="single" w:sz="6" w:space="0" w:color="000000"/>
              <w:end w:val="single" w:sz="6" w:space="0" w:color="000000"/>
            </w:tcBorders>
          </w:tcPr>
          <w:p>
            <w:pPr>
              <w:pStyle w:val="Normal"/>
              <w:numPr>
                <w:ilvl w:val="0"/>
                <w:numId w:val="9"/>
              </w:numPr>
              <w:rPr>
                <w:rFonts w:ascii="Arial" w:hAnsi="Arial" w:cs="Arial"/>
                <w:color w:val="000000"/>
              </w:rPr>
            </w:pPr>
            <w:r>
              <w:rPr>
                <w:rFonts w:cs="Arial" w:ascii="Arial" w:hAnsi="Arial"/>
                <w:color w:val="000000"/>
              </w:rPr>
              <w:t>Continue to roll out enovate to target customers</w:t>
            </w:r>
          </w:p>
        </w:tc>
      </w:tr>
      <w:tr>
        <w:trPr>
          <w:trHeight w:val="199"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Final name of LLC</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Change name.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rPr>
              <w:t>Complete.</w:t>
            </w:r>
            <w:r>
              <w:rPr>
                <w:rFonts w:cs="Arial" w:ascii="Arial" w:hAnsi="Arial"/>
                <w:color w:val="000000"/>
              </w:rPr>
              <w:t xml:space="preserve">  </w:t>
            </w:r>
          </w:p>
          <w:p>
            <w:pPr>
              <w:pStyle w:val="Normal"/>
              <w:rPr>
                <w:rFonts w:ascii="Arial" w:hAnsi="Arial" w:cs="Arial"/>
                <w:color w:val="000000"/>
              </w:rPr>
            </w:pPr>
            <w:r>
              <w:rPr>
                <w:rFonts w:cs="Arial" w:ascii="Arial" w:hAnsi="Arial"/>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5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Prepare schedules A &amp; B</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Section 6.7.2 (d) of enovate Operating Agreement.  Grandfathered transations.  If not approved by 6/25, either member may elect to terminate the L.L.C.</w:t>
            </w:r>
          </w:p>
        </w:tc>
        <w:tc>
          <w:tcPr>
            <w:tcW w:w="3960" w:type="dxa"/>
            <w:tcBorders>
              <w:top w:val="single" w:sz="6" w:space="0" w:color="000000"/>
              <w:end w:val="single" w:sz="6" w:space="0" w:color="000000"/>
            </w:tcBorders>
          </w:tcPr>
          <w:p>
            <w:pPr>
              <w:pStyle w:val="Normal"/>
              <w:numPr>
                <w:ilvl w:val="0"/>
                <w:numId w:val="15"/>
              </w:numPr>
              <w:rPr>
                <w:rFonts w:ascii="Arial" w:hAnsi="Arial" w:cs="Arial"/>
                <w:color w:val="000000"/>
              </w:rPr>
            </w:pPr>
            <w:r>
              <w:rPr>
                <w:rFonts w:cs="Arial" w:ascii="Arial" w:hAnsi="Arial"/>
                <w:color w:val="000000"/>
              </w:rPr>
              <w:t>First draft complete for both</w:t>
            </w:r>
          </w:p>
        </w:tc>
        <w:tc>
          <w:tcPr>
            <w:tcW w:w="3510" w:type="dxa"/>
            <w:tcBorders>
              <w:top w:val="single" w:sz="6" w:space="0" w:color="000000"/>
              <w:end w:val="single" w:sz="6" w:space="0" w:color="000000"/>
            </w:tcBorders>
          </w:tcPr>
          <w:p>
            <w:pPr>
              <w:pStyle w:val="Normal"/>
              <w:numPr>
                <w:ilvl w:val="0"/>
                <w:numId w:val="4"/>
              </w:numPr>
              <w:rPr>
                <w:rFonts w:ascii="Arial" w:hAnsi="Arial" w:cs="Arial"/>
                <w:color w:val="000000"/>
              </w:rPr>
            </w:pPr>
            <w:r>
              <w:rPr>
                <w:rFonts w:cs="Arial" w:ascii="Arial" w:hAnsi="Arial"/>
                <w:color w:val="000000"/>
              </w:rPr>
              <w:t xml:space="preserve">PEC (Tim Hermann) revise Schedule for existing transactions subject to transfer price vs. grandfathered transactions </w:t>
            </w:r>
          </w:p>
          <w:p>
            <w:pPr>
              <w:pStyle w:val="Normal"/>
              <w:numPr>
                <w:ilvl w:val="0"/>
                <w:numId w:val="4"/>
              </w:numPr>
              <w:rPr>
                <w:rFonts w:ascii="Arial" w:hAnsi="Arial" w:cs="Arial"/>
                <w:color w:val="000000"/>
              </w:rPr>
            </w:pPr>
            <w:r>
              <w:rPr>
                <w:rFonts w:cs="Arial" w:ascii="Arial" w:hAnsi="Arial"/>
                <w:color w:val="000000"/>
              </w:rPr>
              <w:t>PEC (Tim Hermann) and ENA  (Laura Luce,Gregg Penman) commercial signoff</w:t>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Audit existing Hub transactions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Review existing PGL Hub transactions and determine value under transfer price agreement.</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Complete.</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b/>
                <w:i/>
                <w:i/>
                <w:color w:val="000000"/>
              </w:rPr>
            </w:pPr>
            <w:r>
              <w:rPr>
                <w:rFonts w:cs="Arial" w:ascii="Arial" w:hAnsi="Arial"/>
                <w:b/>
                <w:i/>
                <w:color w:val="000000"/>
              </w:rPr>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Appoint officers, Commercial Development Manager, Business Development Manager, alternate Board Members.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17-Nov</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Need to put names with titles in enovate Operating Agreement.  Determine need for officers and appointment of alternate board members. Name any designees for risk, credit or other reporting and control needs.</w:t>
            </w:r>
          </w:p>
        </w:tc>
        <w:tc>
          <w:tcPr>
            <w:tcW w:w="3960" w:type="dxa"/>
            <w:tcBorders>
              <w:top w:val="single" w:sz="6" w:space="0" w:color="000000"/>
              <w:bottom w:val="single" w:sz="6" w:space="0" w:color="000000"/>
              <w:end w:val="single" w:sz="6" w:space="0" w:color="000000"/>
            </w:tcBorders>
          </w:tcPr>
          <w:p>
            <w:pPr>
              <w:pStyle w:val="Normal"/>
              <w:numPr>
                <w:ilvl w:val="0"/>
                <w:numId w:val="26"/>
              </w:numPr>
              <w:rPr>
                <w:rFonts w:ascii="Arial" w:hAnsi="Arial" w:cs="Arial"/>
                <w:color w:val="000000"/>
              </w:rPr>
            </w:pPr>
            <w:r>
              <w:rPr>
                <w:rFonts w:cs="Arial" w:ascii="Arial" w:hAnsi="Arial"/>
                <w:color w:val="000000"/>
              </w:rPr>
              <w:t>Management appointments have been determined and notification has been prepared</w:t>
            </w:r>
          </w:p>
        </w:tc>
        <w:tc>
          <w:tcPr>
            <w:tcW w:w="3510" w:type="dxa"/>
            <w:tcBorders>
              <w:top w:val="single" w:sz="6" w:space="0" w:color="000000"/>
              <w:bottom w:val="single" w:sz="6" w:space="0" w:color="000000"/>
              <w:end w:val="single" w:sz="6" w:space="0" w:color="000000"/>
            </w:tcBorders>
          </w:tcPr>
          <w:p>
            <w:pPr>
              <w:pStyle w:val="Normal"/>
              <w:numPr>
                <w:ilvl w:val="0"/>
                <w:numId w:val="22"/>
              </w:numPr>
              <w:rPr>
                <w:rFonts w:ascii="Arial" w:hAnsi="Arial" w:cs="Arial"/>
                <w:color w:val="000000"/>
              </w:rPr>
            </w:pPr>
            <w:r>
              <w:rPr>
                <w:rFonts w:cs="Arial" w:ascii="Arial" w:hAnsi="Arial"/>
                <w:color w:val="000000"/>
              </w:rPr>
              <w:t>Enron approve and execute notification</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Initial Budget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06-Nov</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Prepare operating budget and related marketing and operating plans by August 1st per enovate Operating Agreement.  Determine cash flow requirements of LLC.</w:t>
            </w:r>
          </w:p>
        </w:tc>
        <w:tc>
          <w:tcPr>
            <w:tcW w:w="3960" w:type="dxa"/>
            <w:tcBorders>
              <w:top w:val="single" w:sz="6" w:space="0" w:color="000000"/>
              <w:bottom w:val="single" w:sz="6" w:space="0" w:color="000000"/>
              <w:end w:val="single" w:sz="6" w:space="0" w:color="000000"/>
            </w:tcBorders>
          </w:tcPr>
          <w:p>
            <w:pPr>
              <w:pStyle w:val="Normal"/>
              <w:numPr>
                <w:ilvl w:val="0"/>
                <w:numId w:val="20"/>
              </w:numPr>
              <w:rPr>
                <w:rFonts w:ascii="Arial" w:hAnsi="Arial" w:cs="Arial"/>
                <w:color w:val="000000"/>
              </w:rPr>
            </w:pPr>
            <w:r>
              <w:rPr>
                <w:rFonts w:cs="Arial" w:ascii="Arial" w:hAnsi="Arial"/>
                <w:color w:val="000000"/>
              </w:rPr>
              <w:t xml:space="preserve">Reviewed initial numbers </w:t>
            </w:r>
          </w:p>
        </w:tc>
        <w:tc>
          <w:tcPr>
            <w:tcW w:w="3510" w:type="dxa"/>
            <w:tcBorders>
              <w:top w:val="single" w:sz="6" w:space="0" w:color="000000"/>
              <w:bottom w:val="single" w:sz="6" w:space="0" w:color="000000"/>
              <w:end w:val="single" w:sz="6" w:space="0" w:color="000000"/>
            </w:tcBorders>
          </w:tcPr>
          <w:p>
            <w:pPr>
              <w:pStyle w:val="Normal"/>
              <w:numPr>
                <w:ilvl w:val="0"/>
                <w:numId w:val="12"/>
              </w:numPr>
              <w:rPr>
                <w:rFonts w:ascii="Arial" w:hAnsi="Arial" w:cs="Arial"/>
                <w:color w:val="000000"/>
              </w:rPr>
            </w:pPr>
            <w:r>
              <w:rPr>
                <w:rFonts w:cs="Arial" w:ascii="Arial" w:hAnsi="Arial"/>
                <w:color w:val="000000"/>
              </w:rPr>
              <w:t xml:space="preserve">Need more refined analysis to determine overall budget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Back Office Support/Booking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05-Oct.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Confirm readiness of back office functions, including risk management, logistics, and accounting, to support transaction processes.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 xml:space="preserve">Complete.  </w:t>
            </w:r>
          </w:p>
          <w:p>
            <w:pPr>
              <w:pStyle w:val="Normal"/>
              <w:rPr>
                <w:rFonts w:ascii="Arial" w:hAnsi="Arial" w:cs="Arial"/>
                <w:b/>
                <w:i/>
                <w:i/>
                <w:color w:val="000000"/>
              </w:rPr>
            </w:pPr>
            <w:r>
              <w:rPr>
                <w:rFonts w:cs="Arial" w:ascii="Arial" w:hAnsi="Arial"/>
                <w:b/>
                <w:i/>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bl>
    <w:p>
      <w:pPr>
        <w:pStyle w:val="Normal"/>
        <w:rPr/>
      </w:pPr>
      <w:r>
        <w:rPr/>
      </w:r>
    </w:p>
    <w:sectPr>
      <w:footerReference w:type="default" r:id="rId2"/>
      <w:type w:val="nextPage"/>
      <w:pgSz w:orient="landscape" w:w="15840" w:h="12240"/>
      <w:pgMar w:left="360" w:right="360" w:gutter="0" w:header="0" w:top="57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rPr>
      <w:t xml:space="preserve">Confidential - </w:t>
    </w:r>
    <w:r>
      <w:rPr>
        <w:i/>
      </w:rPr>
      <w:fldChar w:fldCharType="begin"/>
    </w:r>
    <w:r>
      <w:rPr>
        <w:i/>
      </w:rPr>
      <w:instrText xml:space="preserve"> DATE \@"MM\/dd\/yy" </w:instrText>
    </w:r>
    <w:r>
      <w:rPr>
        <w:i/>
      </w:rPr>
      <w:fldChar w:fldCharType="separate"/>
    </w:r>
    <w:r>
      <w:rPr>
        <w:i/>
      </w:rPr>
      <w:t>09/28/25</w:t>
    </w:r>
    <w:r>
      <w:rPr>
        <w:i/>
      </w:rPr>
      <w:fldChar w:fldCharType="end"/>
    </w:r>
    <w:r>
      <w:rPr>
        <w:i/>
      </w:rPr>
      <w:tab/>
      <w:tab/>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rPr>
  </w:style>
  <w:style w:type="paragraph" w:styleId="Heading2">
    <w:name w:val="heading 2"/>
    <w:basedOn w:val="Normal"/>
    <w:next w:val="Normal"/>
    <w:qFormat/>
    <w:pPr>
      <w:keepNext w:val="true"/>
      <w:numPr>
        <w:ilvl w:val="1"/>
        <w:numId w:val="1"/>
      </w:numPr>
      <w:outlineLvl w:val="1"/>
    </w:pPr>
    <w:rPr>
      <w:rFonts w:ascii="Arial" w:hAnsi="Arial" w:cs="Arial"/>
      <w:b/>
      <w:i/>
      <w:color w:val="00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2000-12-08T16:08:00Z</dcterms:created>
  <dc:creator>gpenman</dc:creator>
  <dc:description/>
  <dc:language>en-CA</dc:language>
  <cp:lastModifiedBy>gpenman</cp:lastModifiedBy>
  <cp:lastPrinted>2000-11-07T10:52:00Z</cp:lastPrinted>
  <dcterms:modified xsi:type="dcterms:W3CDTF">2000-12-08T16:39:00Z</dcterms:modified>
  <cp:revision>3</cp:revision>
  <dc:subject/>
  <dc:title>enovate, L</dc:title>
</cp:coreProperties>
</file>