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enovate, L.L.C.</w:t>
      </w:r>
    </w:p>
    <w:p>
      <w:pPr>
        <w:pStyle w:val="Heading1"/>
        <w:ind w:hanging="0" w:start="0"/>
        <w:rPr/>
      </w:pPr>
      <w:r>
        <w:rPr/>
        <w:t>Business Setup Items</w:t>
      </w:r>
    </w:p>
    <w:p>
      <w:pPr>
        <w:pStyle w:val="Normal"/>
        <w:rPr/>
      </w:pPr>
      <w:r>
        <w:rPr/>
      </w:r>
    </w:p>
    <w:tbl>
      <w:tblPr>
        <w:tblW w:w="15060" w:type="dxa"/>
        <w:jc w:val="start"/>
        <w:tblInd w:w="0" w:type="dxa"/>
        <w:tblLayout w:type="fixed"/>
        <w:tblCellMar>
          <w:top w:w="0" w:type="dxa"/>
          <w:start w:w="30" w:type="dxa"/>
          <w:bottom w:w="0" w:type="dxa"/>
          <w:end w:w="30" w:type="dxa"/>
        </w:tblCellMar>
      </w:tblPr>
      <w:tblGrid>
        <w:gridCol w:w="2218"/>
        <w:gridCol w:w="1044"/>
        <w:gridCol w:w="4328"/>
        <w:gridCol w:w="3960"/>
        <w:gridCol w:w="3510"/>
      </w:tblGrid>
      <w:tr>
        <w:trPr>
          <w:trHeight w:val="245" w:hRule="atLeast"/>
        </w:trPr>
        <w:tc>
          <w:tcPr>
            <w:tcW w:w="2218" w:type="dxa"/>
            <w:tcBorders>
              <w:top w:val="single" w:sz="6" w:space="0" w:color="000000"/>
              <w:start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Item</w:t>
            </w:r>
          </w:p>
        </w:tc>
        <w:tc>
          <w:tcPr>
            <w:tcW w:w="1044"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Updated</w:t>
            </w:r>
          </w:p>
        </w:tc>
        <w:tc>
          <w:tcPr>
            <w:tcW w:w="4328"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Description</w:t>
            </w:r>
          </w:p>
        </w:tc>
        <w:tc>
          <w:tcPr>
            <w:tcW w:w="396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Status</w:t>
            </w:r>
          </w:p>
        </w:tc>
        <w:tc>
          <w:tcPr>
            <w:tcW w:w="351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Key Action Items</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 xml:space="preserve">Legal Documents </w:t>
            </w:r>
          </w:p>
        </w:tc>
        <w:tc>
          <w:tcPr>
            <w:tcW w:w="1044"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1392"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Hub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PGL. enovate as agent for existing PGL Hub. $50,000/month administration fee, x% of profits.  LLC termination at either Member's election after June 25 if no executed agreement.  Needs to be submitted to ICC for approval. If satisfactory ICC approval is not received by 12/31/00,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20"/>
              </w:numPr>
              <w:rPr>
                <w:rFonts w:ascii="Arial" w:hAnsi="Arial" w:cs="Arial"/>
                <w:color w:val="000000"/>
                <w:lang w:eastAsia="en-US"/>
              </w:rPr>
            </w:pPr>
            <w:r>
              <w:rPr>
                <w:rFonts w:cs="Arial" w:ascii="Arial" w:hAnsi="Arial"/>
                <w:color w:val="000000"/>
                <w:lang w:eastAsia="en-US"/>
              </w:rPr>
              <w:t>Enron counsel (Kay Mann) sent enovate draft to PGL (Mary Klyasheff, Simon Halfin) on 9/8</w:t>
            </w:r>
          </w:p>
        </w:tc>
        <w:tc>
          <w:tcPr>
            <w:tcW w:w="3510" w:type="dxa"/>
            <w:tcBorders>
              <w:top w:val="single" w:sz="6" w:space="0" w:color="000000"/>
              <w:bottom w:val="single" w:sz="6" w:space="0" w:color="000000"/>
              <w:end w:val="single" w:sz="6" w:space="0" w:color="000000"/>
            </w:tcBorders>
          </w:tcPr>
          <w:p>
            <w:pPr>
              <w:pStyle w:val="Normal"/>
              <w:numPr>
                <w:ilvl w:val="0"/>
                <w:numId w:val="35"/>
              </w:numPr>
              <w:rPr>
                <w:rFonts w:ascii="Arial" w:hAnsi="Arial" w:cs="Arial"/>
                <w:color w:val="000000"/>
                <w:lang w:eastAsia="en-US"/>
              </w:rPr>
            </w:pPr>
            <w:r>
              <w:rPr>
                <w:rFonts w:cs="Arial" w:ascii="Arial" w:hAnsi="Arial"/>
                <w:color w:val="000000"/>
                <w:lang w:eastAsia="en-US"/>
              </w:rPr>
              <w:t>Peoples review Treasury and credit issues (Jim Burns, Aparna Huprikar)</w:t>
            </w:r>
          </w:p>
          <w:p>
            <w:pPr>
              <w:pStyle w:val="Normal"/>
              <w:numPr>
                <w:ilvl w:val="0"/>
                <w:numId w:val="35"/>
              </w:numPr>
              <w:rPr>
                <w:rFonts w:ascii="Arial" w:hAnsi="Arial" w:cs="Arial"/>
                <w:color w:val="000000"/>
                <w:lang w:eastAsia="en-US"/>
              </w:rPr>
            </w:pPr>
            <w:r>
              <w:rPr>
                <w:rFonts w:cs="Arial" w:ascii="Arial" w:hAnsi="Arial"/>
                <w:color w:val="000000"/>
                <w:lang w:eastAsia="en-US"/>
              </w:rPr>
              <w:t>PEC legal review – Speak to PEC commercial on agreement, hold legal discussions directly with Enron counsel</w:t>
            </w:r>
          </w:p>
          <w:p>
            <w:pPr>
              <w:pStyle w:val="Normal"/>
              <w:numPr>
                <w:ilvl w:val="0"/>
                <w:numId w:val="35"/>
              </w:numPr>
              <w:rPr>
                <w:rFonts w:ascii="Arial" w:hAnsi="Arial" w:cs="Arial"/>
                <w:color w:val="000000"/>
                <w:lang w:eastAsia="en-US"/>
              </w:rPr>
            </w:pPr>
            <w:r>
              <w:rPr>
                <w:rFonts w:cs="Arial" w:ascii="Arial" w:hAnsi="Arial"/>
                <w:color w:val="000000"/>
                <w:lang w:eastAsia="en-US"/>
              </w:rPr>
              <w:t xml:space="preserve">ENA and PEC commercial signoff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PERC Peaking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PERC. enovate as agent for PERC Peaking facility. Profits shared subject to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30"/>
              </w:numPr>
              <w:rPr>
                <w:rFonts w:ascii="Arial" w:hAnsi="Arial" w:cs="Arial"/>
                <w:color w:val="000000"/>
                <w:lang w:eastAsia="en-US"/>
              </w:rPr>
            </w:pPr>
            <w:r>
              <w:rPr>
                <w:rFonts w:cs="Arial" w:ascii="Arial" w:hAnsi="Arial"/>
                <w:color w:val="000000"/>
                <w:lang w:eastAsia="en-US"/>
              </w:rPr>
              <w:t>No draft yet</w:t>
            </w:r>
          </w:p>
        </w:tc>
        <w:tc>
          <w:tcPr>
            <w:tcW w:w="3510" w:type="dxa"/>
            <w:tcBorders>
              <w:top w:val="single" w:sz="6" w:space="0" w:color="000000"/>
              <w:bottom w:val="single" w:sz="6" w:space="0" w:color="000000"/>
              <w:end w:val="single" w:sz="6" w:space="0" w:color="000000"/>
            </w:tcBorders>
          </w:tcPr>
          <w:p>
            <w:pPr>
              <w:pStyle w:val="Normal"/>
              <w:numPr>
                <w:ilvl w:val="0"/>
                <w:numId w:val="2"/>
              </w:numPr>
              <w:rPr>
                <w:rFonts w:ascii="Arial" w:hAnsi="Arial" w:cs="Arial"/>
                <w:color w:val="000000"/>
                <w:lang w:eastAsia="en-US"/>
              </w:rPr>
            </w:pPr>
            <w:r>
              <w:rPr>
                <w:rFonts w:cs="Arial" w:ascii="Arial" w:hAnsi="Arial"/>
                <w:color w:val="000000"/>
                <w:lang w:eastAsia="en-US"/>
              </w:rPr>
              <w:t xml:space="preserve">PEC commercial (Tim Hermann) to communicate concepts to PEC legal for first draft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Transfer Price Side Letter</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PEC.  Transfer price arrangement for PGL Hub Services, Enhanced Hub Services, PERC Peaking and any other transactions.</w:t>
            </w:r>
          </w:p>
        </w:tc>
        <w:tc>
          <w:tcPr>
            <w:tcW w:w="3960" w:type="dxa"/>
            <w:tcBorders>
              <w:top w:val="single" w:sz="6" w:space="0" w:color="000000"/>
              <w:bottom w:val="single" w:sz="6" w:space="0" w:color="000000"/>
              <w:end w:val="single" w:sz="6" w:space="0" w:color="000000"/>
            </w:tcBorders>
          </w:tcPr>
          <w:p>
            <w:pPr>
              <w:pStyle w:val="Normal"/>
              <w:numPr>
                <w:ilvl w:val="0"/>
                <w:numId w:val="39"/>
              </w:numPr>
              <w:rPr>
                <w:rFonts w:ascii="Arial" w:hAnsi="Arial" w:cs="Arial"/>
                <w:color w:val="000000"/>
                <w:lang w:eastAsia="en-US"/>
              </w:rPr>
            </w:pPr>
            <w:r>
              <w:rPr>
                <w:rFonts w:cs="Arial" w:ascii="Arial" w:hAnsi="Arial"/>
                <w:color w:val="000000"/>
                <w:lang w:eastAsia="en-US"/>
              </w:rPr>
              <w:t>Enron counsel (Kay Mann) prepared first draft</w:t>
            </w:r>
          </w:p>
          <w:p>
            <w:pPr>
              <w:pStyle w:val="Normal"/>
              <w:numPr>
                <w:ilvl w:val="0"/>
                <w:numId w:val="39"/>
              </w:numPr>
              <w:rPr>
                <w:rFonts w:ascii="Arial" w:hAnsi="Arial" w:cs="Arial"/>
                <w:color w:val="000000"/>
                <w:lang w:eastAsia="en-US"/>
              </w:rPr>
            </w:pPr>
            <w:r>
              <w:rPr>
                <w:rFonts w:cs="Arial" w:ascii="Arial" w:hAnsi="Arial"/>
                <w:color w:val="000000"/>
                <w:lang w:eastAsia="en-US"/>
              </w:rPr>
              <w:t>Delivered to PEC (Bill Morrow) 9/14</w:t>
            </w:r>
          </w:p>
        </w:tc>
        <w:tc>
          <w:tcPr>
            <w:tcW w:w="3510" w:type="dxa"/>
            <w:tcBorders>
              <w:top w:val="single" w:sz="6" w:space="0" w:color="000000"/>
              <w:bottom w:val="single" w:sz="6" w:space="0" w:color="000000"/>
              <w:end w:val="single" w:sz="6" w:space="0" w:color="000000"/>
            </w:tcBorders>
          </w:tcPr>
          <w:p>
            <w:pPr>
              <w:pStyle w:val="Normal"/>
              <w:numPr>
                <w:ilvl w:val="0"/>
                <w:numId w:val="3"/>
              </w:numPr>
              <w:rPr>
                <w:rFonts w:ascii="Arial" w:hAnsi="Arial" w:cs="Arial"/>
                <w:color w:val="000000"/>
                <w:lang w:eastAsia="en-US"/>
              </w:rPr>
            </w:pPr>
            <w:r>
              <w:rPr>
                <w:rFonts w:cs="Arial" w:ascii="Arial" w:hAnsi="Arial"/>
                <w:color w:val="000000"/>
                <w:lang w:eastAsia="en-US"/>
              </w:rPr>
              <w:t>PEC review of documentation (Bill Morrow, PEC legal)</w:t>
            </w:r>
          </w:p>
          <w:p>
            <w:pPr>
              <w:pStyle w:val="Normal"/>
              <w:numPr>
                <w:ilvl w:val="0"/>
                <w:numId w:val="3"/>
              </w:numPr>
              <w:rPr>
                <w:rFonts w:ascii="Arial" w:hAnsi="Arial" w:cs="Arial"/>
                <w:color w:val="000000"/>
                <w:lang w:eastAsia="en-US"/>
              </w:rPr>
            </w:pPr>
            <w:r>
              <w:rPr>
                <w:rFonts w:cs="Arial" w:ascii="Arial" w:hAnsi="Arial"/>
                <w:color w:val="000000"/>
                <w:lang w:eastAsia="en-US"/>
              </w:rPr>
              <w:t>ENA evaluate potential alternative structures</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Master Purchase and Sale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Third Parties.  Preferred template agreement for physical transactions.</w:t>
            </w:r>
          </w:p>
        </w:tc>
        <w:tc>
          <w:tcPr>
            <w:tcW w:w="3960" w:type="dxa"/>
            <w:tcBorders>
              <w:top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tc>
        <w:tc>
          <w:tcPr>
            <w:tcW w:w="3510" w:type="dxa"/>
            <w:tcBorders>
              <w:top w:val="single" w:sz="6" w:space="0" w:color="000000"/>
              <w:end w:val="single" w:sz="6" w:space="0" w:color="000000"/>
            </w:tcBorders>
          </w:tcPr>
          <w:p>
            <w:pPr>
              <w:pStyle w:val="Normal"/>
              <w:numPr>
                <w:ilvl w:val="0"/>
                <w:numId w:val="36"/>
              </w:numPr>
              <w:rPr>
                <w:rFonts w:ascii="Arial" w:hAnsi="Arial" w:cs="Arial"/>
                <w:color w:val="000000"/>
                <w:lang w:eastAsia="en-US"/>
              </w:rPr>
            </w:pPr>
            <w:r>
              <w:rPr>
                <w:rFonts w:cs="Arial" w:ascii="Arial" w:hAnsi="Arial"/>
                <w:color w:val="000000"/>
                <w:lang w:eastAsia="en-US"/>
              </w:rPr>
              <w:t>Distribute to potential counterparties for review immediately</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GISB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Third Parties.  Alternate agreement for physical transactions with third parties that won't execute Master Purchase and Sale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tc>
        <w:tc>
          <w:tcPr>
            <w:tcW w:w="3510" w:type="dxa"/>
            <w:tcBorders>
              <w:top w:val="single" w:sz="6" w:space="0" w:color="000000"/>
              <w:bottom w:val="single" w:sz="6" w:space="0" w:color="000000"/>
              <w:end w:val="single" w:sz="6" w:space="0" w:color="000000"/>
            </w:tcBorders>
          </w:tcPr>
          <w:p>
            <w:pPr>
              <w:pStyle w:val="Normal"/>
              <w:numPr>
                <w:ilvl w:val="0"/>
                <w:numId w:val="11"/>
              </w:numPr>
              <w:rPr>
                <w:rFonts w:ascii="Arial" w:hAnsi="Arial" w:cs="Arial"/>
                <w:color w:val="000000"/>
                <w:lang w:eastAsia="en-US"/>
              </w:rPr>
            </w:pPr>
            <w:r>
              <w:rPr>
                <w:rFonts w:cs="Arial" w:ascii="Arial" w:hAnsi="Arial"/>
                <w:color w:val="000000"/>
                <w:lang w:eastAsia="en-US"/>
              </w:rPr>
              <w:t>Distribute to potential counterparties for review immediately</w:t>
            </w:r>
          </w:p>
        </w:tc>
      </w:tr>
      <w:tr>
        <w:trPr>
          <w:trHeight w:val="420"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Parent Guarantee</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Parents - Third Parties.  Preferred template agreement for parent guarantees.  Determine procedure for issuing/negotiating guarantees.</w:t>
            </w:r>
          </w:p>
        </w:tc>
        <w:tc>
          <w:tcPr>
            <w:tcW w:w="3960" w:type="dxa"/>
            <w:tcBorders>
              <w:top w:val="single" w:sz="6" w:space="0" w:color="000000"/>
              <w:start w:val="single" w:sz="6" w:space="0" w:color="000000"/>
              <w:end w:val="single" w:sz="6" w:space="0" w:color="000000"/>
            </w:tcBorders>
          </w:tcPr>
          <w:p>
            <w:pPr>
              <w:pStyle w:val="Normal"/>
              <w:numPr>
                <w:ilvl w:val="0"/>
                <w:numId w:val="14"/>
              </w:numPr>
              <w:rPr>
                <w:rFonts w:ascii="Arial" w:hAnsi="Arial" w:cs="Arial"/>
                <w:color w:val="000000"/>
                <w:lang w:eastAsia="en-US"/>
              </w:rPr>
            </w:pPr>
            <w:r>
              <w:rPr>
                <w:rFonts w:cs="Arial" w:ascii="Arial" w:hAnsi="Arial"/>
                <w:color w:val="000000"/>
                <w:lang w:eastAsia="en-US"/>
              </w:rPr>
              <w:t>Transactions to date have been handled on a one off basis</w:t>
            </w:r>
          </w:p>
          <w:p>
            <w:pPr>
              <w:pStyle w:val="Normal"/>
              <w:numPr>
                <w:ilvl w:val="0"/>
                <w:numId w:val="14"/>
              </w:numPr>
              <w:rPr>
                <w:rFonts w:ascii="Arial" w:hAnsi="Arial" w:cs="Arial"/>
                <w:color w:val="000000"/>
                <w:lang w:eastAsia="en-US"/>
              </w:rPr>
            </w:pPr>
            <w:r>
              <w:rPr>
                <w:rFonts w:cs="Arial" w:ascii="Arial" w:hAnsi="Arial"/>
                <w:color w:val="000000"/>
                <w:lang w:eastAsia="en-US"/>
              </w:rPr>
              <w:t>Need to develop plan for going forward</w:t>
            </w:r>
          </w:p>
        </w:tc>
        <w:tc>
          <w:tcPr>
            <w:tcW w:w="3510" w:type="dxa"/>
            <w:tcBorders>
              <w:top w:val="single" w:sz="6" w:space="0" w:color="000000"/>
              <w:end w:val="single" w:sz="6" w:space="0" w:color="000000"/>
            </w:tcBorders>
          </w:tcPr>
          <w:p>
            <w:pPr>
              <w:pStyle w:val="Normal"/>
              <w:numPr>
                <w:ilvl w:val="0"/>
                <w:numId w:val="24"/>
              </w:numPr>
              <w:rPr>
                <w:rFonts w:ascii="Arial" w:hAnsi="Arial" w:cs="Arial"/>
                <w:color w:val="000000"/>
                <w:lang w:eastAsia="en-US"/>
              </w:rPr>
            </w:pPr>
            <w:r>
              <w:rPr>
                <w:rFonts w:cs="Arial" w:ascii="Arial" w:hAnsi="Arial"/>
                <w:color w:val="000000"/>
                <w:lang w:eastAsia="en-US"/>
              </w:rPr>
              <w:t xml:space="preserve">Scheduling meeting for early next week with Enron and PEC legal and credit to discuss various options </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ISDA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Third Parties.  Preferred template agreements for Schedule to Master Agreement and Paragraph 13 to Credit Support Annex for financial transactions.  </w:t>
            </w:r>
          </w:p>
        </w:tc>
        <w:tc>
          <w:tcPr>
            <w:tcW w:w="3960" w:type="dxa"/>
            <w:tcBorders>
              <w:top w:val="single" w:sz="6" w:space="0" w:color="000000"/>
              <w:bottom w:val="single" w:sz="6" w:space="0" w:color="000000"/>
              <w:end w:val="single" w:sz="6" w:space="0" w:color="000000"/>
            </w:tcBorders>
          </w:tcPr>
          <w:p>
            <w:pPr>
              <w:pStyle w:val="Normal"/>
              <w:numPr>
                <w:ilvl w:val="0"/>
                <w:numId w:val="31"/>
              </w:numPr>
              <w:rPr>
                <w:rFonts w:ascii="Arial" w:hAnsi="Arial" w:cs="Arial"/>
                <w:color w:val="000000"/>
                <w:lang w:eastAsia="en-US"/>
              </w:rPr>
            </w:pPr>
            <w:r>
              <w:rPr>
                <w:rFonts w:cs="Arial" w:ascii="Arial" w:hAnsi="Arial"/>
                <w:color w:val="000000"/>
                <w:lang w:eastAsia="en-US"/>
              </w:rPr>
              <w:t>Enron templates forwarded to PEC on 10/05</w:t>
            </w:r>
          </w:p>
        </w:tc>
        <w:tc>
          <w:tcPr>
            <w:tcW w:w="3510" w:type="dxa"/>
            <w:tcBorders>
              <w:top w:val="single" w:sz="6" w:space="0" w:color="000000"/>
              <w:bottom w:val="single" w:sz="6" w:space="0" w:color="000000"/>
              <w:end w:val="single" w:sz="6" w:space="0" w:color="000000"/>
            </w:tcBorders>
          </w:tcPr>
          <w:p>
            <w:pPr>
              <w:pStyle w:val="Normal"/>
              <w:numPr>
                <w:ilvl w:val="0"/>
                <w:numId w:val="29"/>
              </w:numPr>
              <w:rPr>
                <w:rFonts w:ascii="Arial" w:hAnsi="Arial" w:cs="Arial"/>
                <w:color w:val="000000"/>
                <w:lang w:eastAsia="en-US"/>
              </w:rPr>
            </w:pPr>
            <w:r>
              <w:rPr>
                <w:rFonts w:cs="Arial" w:ascii="Arial" w:hAnsi="Arial"/>
                <w:color w:val="000000"/>
                <w:lang w:eastAsia="en-US"/>
              </w:rPr>
              <w:t>PEC and Enron joint development of initial templates</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Affiliate Master Purchase and Sale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PGL. Blanket filing with ICC for physical transactions. Individual transactions will be attached as confirmations. </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p>
            <w:pPr>
              <w:pStyle w:val="Normal"/>
              <w:numPr>
                <w:ilvl w:val="0"/>
                <w:numId w:val="25"/>
              </w:numPr>
              <w:rPr>
                <w:rFonts w:ascii="Arial" w:hAnsi="Arial" w:cs="Arial"/>
                <w:color w:val="000000"/>
                <w:lang w:eastAsia="en-US"/>
              </w:rPr>
            </w:pPr>
            <w:r>
              <w:rPr>
                <w:rFonts w:cs="Arial" w:ascii="Arial" w:hAnsi="Arial"/>
                <w:color w:val="000000"/>
                <w:lang w:eastAsia="en-US"/>
              </w:rPr>
              <w:t>Fully executed agreements</w:t>
            </w:r>
          </w:p>
          <w:p>
            <w:pPr>
              <w:pStyle w:val="Normal"/>
              <w:numPr>
                <w:ilvl w:val="0"/>
                <w:numId w:val="25"/>
              </w:numPr>
              <w:rPr>
                <w:rFonts w:ascii="Arial" w:hAnsi="Arial" w:cs="Arial"/>
                <w:color w:val="000000"/>
                <w:lang w:eastAsia="en-US"/>
              </w:rPr>
            </w:pPr>
            <w:r>
              <w:rPr>
                <w:rFonts w:cs="Arial" w:ascii="Arial" w:hAnsi="Arial"/>
                <w:color w:val="000000"/>
                <w:lang w:eastAsia="en-US"/>
              </w:rPr>
              <w:t>PEC preparing testimony and petition for submission to the ICC</w:t>
            </w:r>
          </w:p>
        </w:tc>
        <w:tc>
          <w:tcPr>
            <w:tcW w:w="3510" w:type="dxa"/>
            <w:tcBorders>
              <w:top w:val="single" w:sz="6" w:space="0" w:color="000000"/>
              <w:bottom w:val="single" w:sz="6" w:space="0" w:color="000000"/>
              <w:end w:val="single" w:sz="6" w:space="0" w:color="000000"/>
            </w:tcBorders>
          </w:tcPr>
          <w:p>
            <w:pPr>
              <w:pStyle w:val="Normal"/>
              <w:numPr>
                <w:ilvl w:val="0"/>
                <w:numId w:val="12"/>
              </w:numPr>
              <w:rPr>
                <w:rFonts w:ascii="Arial" w:hAnsi="Arial" w:cs="Arial"/>
                <w:color w:val="000000"/>
                <w:lang w:eastAsia="en-US"/>
              </w:rPr>
            </w:pPr>
            <w:r>
              <w:rPr>
                <w:rFonts w:cs="Arial" w:ascii="Arial" w:hAnsi="Arial"/>
                <w:color w:val="000000"/>
                <w:lang w:eastAsia="en-US"/>
              </w:rPr>
              <w:t xml:space="preserve">PEC submit testimony and petition to ICC for approval </w:t>
            </w:r>
          </w:p>
        </w:tc>
      </w:tr>
      <w:tr>
        <w:trPr>
          <w:trHeight w:val="199"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Confidentiality Agreements</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CA's for employees working in the LLC.</w:t>
            </w:r>
          </w:p>
        </w:tc>
        <w:tc>
          <w:tcPr>
            <w:tcW w:w="3960" w:type="dxa"/>
            <w:tcBorders>
              <w:top w:val="single" w:sz="6" w:space="0" w:color="000000"/>
              <w:end w:val="single" w:sz="6" w:space="0" w:color="000000"/>
            </w:tcBorders>
          </w:tcPr>
          <w:p>
            <w:pPr>
              <w:pStyle w:val="Normal"/>
              <w:numPr>
                <w:ilvl w:val="0"/>
                <w:numId w:val="6"/>
              </w:numPr>
              <w:rPr>
                <w:rFonts w:ascii="Arial" w:hAnsi="Arial" w:cs="Arial"/>
                <w:color w:val="000000"/>
                <w:lang w:eastAsia="en-US"/>
              </w:rPr>
            </w:pPr>
            <w:r>
              <w:rPr>
                <w:rFonts w:cs="Arial" w:ascii="Arial" w:hAnsi="Arial"/>
                <w:color w:val="000000"/>
                <w:lang w:eastAsia="en-US"/>
              </w:rPr>
              <w:t>Draft CA sent to PEC (Tim Hermann) on 6/14</w:t>
            </w:r>
          </w:p>
        </w:tc>
        <w:tc>
          <w:tcPr>
            <w:tcW w:w="3510" w:type="dxa"/>
            <w:tcBorders>
              <w:top w:val="single" w:sz="6" w:space="0" w:color="000000"/>
              <w:end w:val="single" w:sz="6" w:space="0" w:color="000000"/>
            </w:tcBorders>
          </w:tcPr>
          <w:p>
            <w:pPr>
              <w:pStyle w:val="Normal"/>
              <w:numPr>
                <w:ilvl w:val="0"/>
                <w:numId w:val="17"/>
              </w:numPr>
              <w:rPr>
                <w:rFonts w:ascii="Arial" w:hAnsi="Arial" w:cs="Arial"/>
                <w:color w:val="000000"/>
                <w:lang w:eastAsia="en-US"/>
              </w:rPr>
            </w:pPr>
            <w:r>
              <w:rPr>
                <w:rFonts w:cs="Arial" w:ascii="Arial" w:hAnsi="Arial"/>
                <w:color w:val="000000"/>
                <w:lang w:eastAsia="en-US"/>
              </w:rPr>
              <w:t>Discuss and forward to PEC legal</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LLC Loan Facility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intercompany loans from each parent to enovate for equal working capital funding requirements.</w:t>
            </w:r>
          </w:p>
        </w:tc>
        <w:tc>
          <w:tcPr>
            <w:tcW w:w="3960" w:type="dxa"/>
            <w:tcBorders>
              <w:top w:val="single" w:sz="6" w:space="0" w:color="000000"/>
              <w:start w:val="single" w:sz="6" w:space="0" w:color="000000"/>
              <w:end w:val="single" w:sz="6" w:space="0" w:color="000000"/>
            </w:tcBorders>
          </w:tcPr>
          <w:p>
            <w:pPr>
              <w:pStyle w:val="Normal"/>
              <w:numPr>
                <w:ilvl w:val="0"/>
                <w:numId w:val="33"/>
              </w:numPr>
              <w:rPr>
                <w:rFonts w:ascii="Arial" w:hAnsi="Arial" w:cs="Arial"/>
                <w:color w:val="000000"/>
                <w:lang w:eastAsia="en-US"/>
              </w:rPr>
            </w:pPr>
            <w:r>
              <w:rPr>
                <w:rFonts w:cs="Arial" w:ascii="Arial" w:hAnsi="Arial"/>
                <w:color w:val="000000"/>
                <w:lang w:eastAsia="en-US"/>
              </w:rPr>
              <w:t>Enron counsel (Kay Mann) to coordinate preparation of loan documentation for PEC review</w:t>
            </w:r>
          </w:p>
        </w:tc>
        <w:tc>
          <w:tcPr>
            <w:tcW w:w="3510" w:type="dxa"/>
            <w:tcBorders>
              <w:top w:val="single" w:sz="6" w:space="0" w:color="000000"/>
              <w:start w:val="single" w:sz="6" w:space="0" w:color="000000"/>
              <w:end w:val="single" w:sz="6" w:space="0" w:color="000000"/>
            </w:tcBorders>
          </w:tcPr>
          <w:p>
            <w:pPr>
              <w:pStyle w:val="Normal"/>
              <w:numPr>
                <w:ilvl w:val="0"/>
                <w:numId w:val="8"/>
              </w:numPr>
              <w:rPr>
                <w:rFonts w:ascii="Arial" w:hAnsi="Arial" w:cs="Arial"/>
                <w:color w:val="000000"/>
                <w:lang w:eastAsia="en-US"/>
              </w:rPr>
            </w:pPr>
            <w:r>
              <w:rPr>
                <w:rFonts w:cs="Arial" w:ascii="Arial" w:hAnsi="Arial"/>
                <w:color w:val="000000"/>
                <w:lang w:eastAsia="en-US"/>
              </w:rPr>
              <w:t>First draft delivered to PEC by 9/25</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Services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Services Agreement for provision of cash management services from ENA to enovate.  </w:t>
            </w:r>
          </w:p>
        </w:tc>
        <w:tc>
          <w:tcPr>
            <w:tcW w:w="3960" w:type="dxa"/>
            <w:tcBorders>
              <w:top w:val="single" w:sz="6" w:space="0" w:color="000000"/>
              <w:start w:val="single" w:sz="6" w:space="0" w:color="000000"/>
              <w:end w:val="single" w:sz="6" w:space="0" w:color="000000"/>
            </w:tcBorders>
          </w:tcPr>
          <w:p>
            <w:pPr>
              <w:pStyle w:val="Normal"/>
              <w:numPr>
                <w:ilvl w:val="0"/>
                <w:numId w:val="28"/>
              </w:numPr>
              <w:rPr>
                <w:rFonts w:ascii="Arial" w:hAnsi="Arial" w:cs="Arial"/>
                <w:color w:val="000000"/>
                <w:lang w:eastAsia="en-US"/>
              </w:rPr>
            </w:pPr>
            <w:r>
              <w:rPr>
                <w:rFonts w:cs="Arial" w:ascii="Arial" w:hAnsi="Arial"/>
                <w:color w:val="000000"/>
                <w:lang w:eastAsia="en-US"/>
              </w:rPr>
              <w:t>General commercial agreement on funding/reporting protocol</w:t>
            </w:r>
          </w:p>
          <w:p>
            <w:pPr>
              <w:pStyle w:val="Normal"/>
              <w:numPr>
                <w:ilvl w:val="0"/>
                <w:numId w:val="28"/>
              </w:numPr>
              <w:rPr>
                <w:rFonts w:ascii="Arial" w:hAnsi="Arial" w:cs="Arial"/>
                <w:color w:val="000000"/>
                <w:lang w:eastAsia="en-US"/>
              </w:rPr>
            </w:pPr>
            <w:r>
              <w:rPr>
                <w:rFonts w:cs="Arial" w:ascii="Arial" w:hAnsi="Arial"/>
                <w:color w:val="000000"/>
                <w:lang w:eastAsia="en-US"/>
              </w:rPr>
              <w:t>Enron counsel (Kay Mann) to prepare agreement for PEC review</w:t>
            </w:r>
          </w:p>
        </w:tc>
        <w:tc>
          <w:tcPr>
            <w:tcW w:w="3510" w:type="dxa"/>
            <w:tcBorders>
              <w:top w:val="single" w:sz="6" w:space="0" w:color="000000"/>
              <w:start w:val="single" w:sz="6" w:space="0" w:color="000000"/>
              <w:end w:val="single" w:sz="6" w:space="0" w:color="000000"/>
            </w:tcBorders>
          </w:tcPr>
          <w:p>
            <w:pPr>
              <w:pStyle w:val="Normal"/>
              <w:numPr>
                <w:ilvl w:val="0"/>
                <w:numId w:val="7"/>
              </w:numPr>
              <w:rPr>
                <w:rFonts w:ascii="Arial" w:hAnsi="Arial" w:cs="Arial"/>
                <w:color w:val="000000"/>
                <w:lang w:eastAsia="en-US"/>
              </w:rPr>
            </w:pPr>
            <w:r>
              <w:rPr>
                <w:rFonts w:cs="Arial" w:ascii="Arial" w:hAnsi="Arial"/>
                <w:color w:val="000000"/>
                <w:lang w:eastAsia="en-US"/>
              </w:rPr>
              <w:t>Deliver first draft to PEC</w:t>
            </w:r>
          </w:p>
        </w:tc>
      </w:tr>
      <w:tr>
        <w:trPr>
          <w:trHeight w:val="199" w:hRule="atLeast"/>
        </w:trPr>
        <w:tc>
          <w:tcPr>
            <w:tcW w:w="3262" w:type="dxa"/>
            <w:gridSpan w:val="2"/>
            <w:tcBorders>
              <w:top w:val="single" w:sz="6" w:space="0" w:color="000000"/>
              <w:start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Policies and Procedures</w:t>
            </w:r>
          </w:p>
        </w:tc>
        <w:tc>
          <w:tcPr>
            <w:tcW w:w="0" w:type="dxa"/>
            <w:vMerge w:val="continue"/>
            <w:tcBorders>
              <w:top w:val="single" w:sz="6" w:space="0" w:color="000000"/>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top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Management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policy establishing limits, notifications, approved traders, etc.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13"/>
              </w:numPr>
              <w:rPr>
                <w:rFonts w:ascii="Arial" w:hAnsi="Arial" w:cs="Arial"/>
                <w:color w:val="000000"/>
                <w:lang w:eastAsia="en-US"/>
              </w:rPr>
            </w:pPr>
            <w:r>
              <w:rPr>
                <w:rFonts w:cs="Arial" w:ascii="Arial" w:hAnsi="Arial"/>
                <w:color w:val="000000"/>
                <w:lang w:eastAsia="en-US"/>
              </w:rPr>
              <w:t>PEC received Board approval Oct. 4</w:t>
            </w:r>
            <w:r>
              <w:rPr>
                <w:rFonts w:cs="Arial" w:ascii="Arial" w:hAnsi="Arial"/>
                <w:color w:val="000000"/>
                <w:vertAlign w:val="superscript"/>
                <w:lang w:eastAsia="en-US"/>
              </w:rPr>
              <w:t>th</w:t>
            </w:r>
            <w:r>
              <w:rPr>
                <w:rFonts w:cs="Arial" w:ascii="Arial" w:hAnsi="Arial"/>
                <w:color w:val="000000"/>
                <w:lang w:eastAsia="en-US"/>
              </w:rPr>
              <w:t xml:space="preserve"> for general framework</w:t>
            </w:r>
          </w:p>
        </w:tc>
        <w:tc>
          <w:tcPr>
            <w:tcW w:w="3510" w:type="dxa"/>
            <w:tcBorders>
              <w:top w:val="single" w:sz="6" w:space="0" w:color="000000"/>
              <w:bottom w:val="single" w:sz="6" w:space="0" w:color="000000"/>
              <w:end w:val="single" w:sz="6" w:space="0" w:color="000000"/>
            </w:tcBorders>
          </w:tcPr>
          <w:p>
            <w:pPr>
              <w:pStyle w:val="Normal"/>
              <w:numPr>
                <w:ilvl w:val="0"/>
                <w:numId w:val="37"/>
              </w:numPr>
              <w:rPr>
                <w:rFonts w:ascii="Arial" w:hAnsi="Arial" w:cs="Arial"/>
                <w:color w:val="000000"/>
                <w:lang w:eastAsia="en-US"/>
              </w:rPr>
            </w:pPr>
            <w:r>
              <w:rPr>
                <w:rFonts w:cs="Arial" w:ascii="Arial" w:hAnsi="Arial"/>
                <w:color w:val="000000"/>
                <w:lang w:eastAsia="en-US"/>
              </w:rPr>
              <w:t>Enron and PEC jointly complete final document</w:t>
            </w:r>
          </w:p>
          <w:p>
            <w:pPr>
              <w:pStyle w:val="Normal"/>
              <w:numPr>
                <w:ilvl w:val="0"/>
                <w:numId w:val="37"/>
              </w:numPr>
              <w:rPr>
                <w:rFonts w:ascii="Arial" w:hAnsi="Arial" w:cs="Arial"/>
                <w:color w:val="000000"/>
                <w:lang w:eastAsia="en-US"/>
              </w:rPr>
            </w:pPr>
            <w:r>
              <w:rPr>
                <w:rFonts w:cs="Arial" w:ascii="Arial" w:hAnsi="Arial"/>
                <w:color w:val="000000"/>
                <w:lang w:eastAsia="en-US"/>
              </w:rPr>
              <w:t>Target completion date of 10/13</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Procedures and Control Guidelines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Transaction flow process from deal inception to collection of receivable.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23"/>
              </w:numPr>
              <w:rPr>
                <w:rFonts w:ascii="Arial" w:hAnsi="Arial" w:cs="Arial"/>
                <w:color w:val="000000"/>
                <w:lang w:eastAsia="en-US"/>
              </w:rPr>
            </w:pPr>
            <w:r>
              <w:rPr>
                <w:rFonts w:cs="Arial" w:ascii="Arial" w:hAnsi="Arial"/>
                <w:color w:val="000000"/>
                <w:lang w:eastAsia="en-US"/>
              </w:rPr>
              <w:t>Drafts have been presented to PEC and Enron personnel for review</w:t>
            </w:r>
          </w:p>
        </w:tc>
        <w:tc>
          <w:tcPr>
            <w:tcW w:w="3510" w:type="dxa"/>
            <w:tcBorders>
              <w:top w:val="single" w:sz="6" w:space="0" w:color="000000"/>
              <w:bottom w:val="single" w:sz="6" w:space="0" w:color="000000"/>
              <w:end w:val="single" w:sz="6" w:space="0" w:color="000000"/>
            </w:tcBorders>
          </w:tcPr>
          <w:p>
            <w:pPr>
              <w:pStyle w:val="Normal"/>
              <w:numPr>
                <w:ilvl w:val="0"/>
                <w:numId w:val="18"/>
              </w:numPr>
              <w:rPr>
                <w:rFonts w:ascii="Arial" w:hAnsi="Arial" w:cs="Arial"/>
                <w:color w:val="000000"/>
                <w:lang w:eastAsia="en-US"/>
              </w:rPr>
            </w:pPr>
            <w:r>
              <w:rPr>
                <w:rFonts w:cs="Arial" w:ascii="Arial" w:hAnsi="Arial"/>
                <w:color w:val="000000"/>
                <w:lang w:eastAsia="en-US"/>
              </w:rPr>
              <w:t>Final signoff by PEC and Enron personnel</w:t>
            </w:r>
          </w:p>
          <w:p>
            <w:pPr>
              <w:pStyle w:val="Normal"/>
              <w:numPr>
                <w:ilvl w:val="0"/>
                <w:numId w:val="18"/>
              </w:numPr>
              <w:rPr>
                <w:rFonts w:ascii="Arial" w:hAnsi="Arial" w:cs="Arial"/>
                <w:color w:val="000000"/>
                <w:lang w:eastAsia="en-US"/>
              </w:rPr>
            </w:pPr>
            <w:r>
              <w:rPr>
                <w:rFonts w:cs="Arial" w:ascii="Arial" w:hAnsi="Arial"/>
                <w:color w:val="000000"/>
                <w:lang w:eastAsia="en-US"/>
              </w:rPr>
              <w:t>Target completion date of 10/13</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Credit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Approved counterparties, credit limits and ongoing credit process management.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5"/>
              </w:numPr>
              <w:rPr>
                <w:rFonts w:ascii="Arial" w:hAnsi="Arial" w:cs="Arial"/>
                <w:color w:val="000000"/>
                <w:lang w:eastAsia="en-US"/>
              </w:rPr>
            </w:pPr>
            <w:r>
              <w:rPr>
                <w:rFonts w:cs="Arial" w:ascii="Arial" w:hAnsi="Arial"/>
                <w:color w:val="000000"/>
                <w:lang w:eastAsia="en-US"/>
              </w:rPr>
              <w:t xml:space="preserve">General agreement on draft </w:t>
            </w:r>
          </w:p>
        </w:tc>
        <w:tc>
          <w:tcPr>
            <w:tcW w:w="3510" w:type="dxa"/>
            <w:tcBorders>
              <w:top w:val="single" w:sz="6" w:space="0" w:color="000000"/>
              <w:bottom w:val="single" w:sz="6" w:space="0" w:color="000000"/>
              <w:end w:val="single" w:sz="6" w:space="0" w:color="000000"/>
            </w:tcBorders>
          </w:tcPr>
          <w:p>
            <w:pPr>
              <w:pStyle w:val="Normal"/>
              <w:numPr>
                <w:ilvl w:val="0"/>
                <w:numId w:val="38"/>
              </w:numPr>
              <w:rPr>
                <w:rFonts w:ascii="Arial" w:hAnsi="Arial" w:cs="Arial"/>
                <w:color w:val="000000"/>
                <w:lang w:eastAsia="en-US"/>
              </w:rPr>
            </w:pPr>
            <w:r>
              <w:rPr>
                <w:rFonts w:cs="Arial" w:ascii="Arial" w:hAnsi="Arial"/>
                <w:color w:val="000000"/>
                <w:lang w:eastAsia="en-US"/>
              </w:rPr>
              <w:t>Enron and PEC jointly complete final document</w:t>
            </w:r>
          </w:p>
          <w:p>
            <w:pPr>
              <w:pStyle w:val="Normal"/>
              <w:numPr>
                <w:ilvl w:val="0"/>
                <w:numId w:val="38"/>
              </w:numPr>
              <w:rPr>
                <w:rFonts w:ascii="Arial" w:hAnsi="Arial" w:cs="Arial"/>
                <w:color w:val="000000"/>
                <w:lang w:eastAsia="en-US"/>
              </w:rPr>
            </w:pPr>
            <w:r>
              <w:rPr>
                <w:rFonts w:cs="Arial" w:ascii="Arial" w:hAnsi="Arial"/>
                <w:color w:val="000000"/>
                <w:lang w:eastAsia="en-US"/>
              </w:rPr>
              <w:t>Target completion date of 10/13</w:t>
            </w:r>
          </w:p>
        </w:tc>
      </w:tr>
      <w:tr>
        <w:trPr>
          <w:trHeight w:val="199" w:hRule="atLeast"/>
        </w:trPr>
        <w:tc>
          <w:tcPr>
            <w:tcW w:w="2218" w:type="dxa"/>
            <w:tcBorders>
              <w:start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Administrative</w:t>
            </w:r>
          </w:p>
        </w:tc>
        <w:tc>
          <w:tcPr>
            <w:tcW w:w="1044" w:type="dxa"/>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Setup and fund bank account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LLC bank account and make initial funding of $100,000 each.</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Normal"/>
              <w:numPr>
                <w:ilvl w:val="0"/>
                <w:numId w:val="10"/>
              </w:numPr>
              <w:rPr>
                <w:rFonts w:ascii="Arial" w:hAnsi="Arial" w:cs="Arial"/>
                <w:color w:val="000000"/>
                <w:lang w:eastAsia="en-US"/>
              </w:rPr>
            </w:pPr>
            <w:r>
              <w:rPr>
                <w:rFonts w:cs="Arial" w:ascii="Arial" w:hAnsi="Arial"/>
                <w:color w:val="000000"/>
                <w:lang w:eastAsia="en-US"/>
              </w:rPr>
              <w:t>Funding 10/6</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Accounting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financial reporting, including variance explanation, process, address MTM vs. accrual issues, document audit procedures, etc.</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Normal"/>
              <w:numPr>
                <w:ilvl w:val="0"/>
                <w:numId w:val="27"/>
              </w:numPr>
              <w:rPr>
                <w:rFonts w:ascii="Arial" w:hAnsi="Arial" w:cs="Arial"/>
              </w:rPr>
            </w:pPr>
            <w:r>
              <w:rPr>
                <w:rFonts w:cs="Arial" w:ascii="Arial" w:hAnsi="Arial"/>
              </w:rPr>
              <w:t>Finalize quarter and year end statements</w:t>
            </w:r>
          </w:p>
          <w:p>
            <w:pPr>
              <w:pStyle w:val="Normal"/>
              <w:numPr>
                <w:ilvl w:val="0"/>
                <w:numId w:val="27"/>
              </w:numPr>
              <w:rPr>
                <w:rFonts w:ascii="Arial" w:hAnsi="Arial" w:cs="Arial"/>
              </w:rPr>
            </w:pPr>
            <w:r>
              <w:rPr>
                <w:rFonts w:cs="Arial" w:ascii="Arial" w:hAnsi="Arial"/>
              </w:rPr>
              <w:t>Ongoing</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Tax</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tax treatment of enovate structure.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9"/>
              </w:numPr>
              <w:rPr>
                <w:rFonts w:ascii="Arial" w:hAnsi="Arial" w:cs="Arial"/>
                <w:color w:val="000000"/>
                <w:lang w:eastAsia="en-US"/>
              </w:rPr>
            </w:pPr>
            <w:r>
              <w:rPr>
                <w:rFonts w:cs="Arial" w:ascii="Arial" w:hAnsi="Arial"/>
                <w:color w:val="000000"/>
                <w:lang w:eastAsia="en-US"/>
              </w:rPr>
              <w:t xml:space="preserve">Ongoing </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enovate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enovate to conduct business in Midwest states.</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16"/>
              </w:numPr>
              <w:rPr>
                <w:rFonts w:ascii="Arial" w:hAnsi="Arial" w:cs="Arial"/>
                <w:color w:val="000000"/>
                <w:lang w:eastAsia="en-US"/>
              </w:rPr>
            </w:pPr>
            <w:r>
              <w:rPr>
                <w:rFonts w:cs="Arial" w:ascii="Arial" w:hAnsi="Arial"/>
                <w:color w:val="000000"/>
                <w:lang w:eastAsia="en-US"/>
              </w:rPr>
              <w:t>Qualified in all states with nexus – currently limited to Illinois</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Marketing materials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LLC marketing materials describing business, products and potential contracts.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tc>
        <w:tc>
          <w:tcPr>
            <w:tcW w:w="3510" w:type="dxa"/>
            <w:tcBorders>
              <w:top w:val="single" w:sz="6" w:space="0" w:color="000000"/>
              <w:bottom w:val="single" w:sz="6" w:space="0" w:color="000000"/>
              <w:end w:val="single" w:sz="6" w:space="0" w:color="000000"/>
            </w:tcBorders>
          </w:tcPr>
          <w:p>
            <w:pPr>
              <w:pStyle w:val="Normal"/>
              <w:numPr>
                <w:ilvl w:val="0"/>
                <w:numId w:val="15"/>
              </w:numPr>
              <w:rPr>
                <w:rFonts w:ascii="Arial" w:hAnsi="Arial" w:cs="Arial"/>
                <w:color w:val="000000"/>
                <w:lang w:eastAsia="en-US"/>
              </w:rPr>
            </w:pPr>
            <w:r>
              <w:rPr>
                <w:rFonts w:cs="Arial" w:ascii="Arial" w:hAnsi="Arial"/>
                <w:color w:val="000000"/>
                <w:lang w:eastAsia="en-US"/>
              </w:rPr>
              <w:t>Continue to roll out enovate to target customers</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Final name of LLC</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Change name.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Complete.</w:t>
            </w:r>
            <w:r>
              <w:rPr>
                <w:rFonts w:cs="Arial" w:ascii="Arial" w:hAnsi="Arial"/>
                <w:color w:val="000000"/>
                <w:lang w:eastAsia="en-US"/>
              </w:rPr>
              <w:t xml:space="preserve">  </w:t>
            </w:r>
          </w:p>
          <w:p>
            <w:pPr>
              <w:pStyle w:val="Normal"/>
              <w:numPr>
                <w:ilvl w:val="0"/>
                <w:numId w:val="19"/>
              </w:numPr>
              <w:rPr>
                <w:rFonts w:ascii="Arial" w:hAnsi="Arial" w:cs="Arial"/>
                <w:color w:val="000000"/>
                <w:lang w:eastAsia="en-US"/>
              </w:rPr>
            </w:pPr>
            <w:r>
              <w:rPr>
                <w:rFonts w:cs="Arial" w:ascii="Arial" w:hAnsi="Arial"/>
                <w:color w:val="000000"/>
                <w:lang w:eastAsia="en-US"/>
              </w:rPr>
              <w:t xml:space="preserve">enovate, L.L.C. </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schedules A &amp; B</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Section 6.7.2 (d) of enovate Operating Agreement.  Grandfathered transations.  If not approved by 6/25, either member may elect to terminate the L.L.C.</w:t>
            </w:r>
          </w:p>
        </w:tc>
        <w:tc>
          <w:tcPr>
            <w:tcW w:w="3960" w:type="dxa"/>
            <w:tcBorders>
              <w:top w:val="single" w:sz="6" w:space="0" w:color="000000"/>
              <w:end w:val="single" w:sz="6" w:space="0" w:color="000000"/>
            </w:tcBorders>
          </w:tcPr>
          <w:p>
            <w:pPr>
              <w:pStyle w:val="Normal"/>
              <w:numPr>
                <w:ilvl w:val="0"/>
                <w:numId w:val="26"/>
              </w:numPr>
              <w:rPr>
                <w:rFonts w:ascii="Arial" w:hAnsi="Arial" w:cs="Arial"/>
                <w:color w:val="000000"/>
                <w:lang w:eastAsia="en-US"/>
              </w:rPr>
            </w:pPr>
            <w:r>
              <w:rPr>
                <w:rFonts w:cs="Arial" w:ascii="Arial" w:hAnsi="Arial"/>
                <w:color w:val="000000"/>
                <w:lang w:eastAsia="en-US"/>
              </w:rPr>
              <w:t>First draft complete for both</w:t>
            </w:r>
          </w:p>
        </w:tc>
        <w:tc>
          <w:tcPr>
            <w:tcW w:w="3510" w:type="dxa"/>
            <w:tcBorders>
              <w:top w:val="single" w:sz="6" w:space="0" w:color="000000"/>
              <w:end w:val="single" w:sz="6" w:space="0" w:color="000000"/>
            </w:tcBorders>
          </w:tcPr>
          <w:p>
            <w:pPr>
              <w:pStyle w:val="Normal"/>
              <w:numPr>
                <w:ilvl w:val="0"/>
                <w:numId w:val="4"/>
              </w:numPr>
              <w:rPr>
                <w:rFonts w:ascii="Arial" w:hAnsi="Arial" w:cs="Arial"/>
                <w:color w:val="000000"/>
                <w:lang w:eastAsia="en-US"/>
              </w:rPr>
            </w:pPr>
            <w:r>
              <w:rPr>
                <w:rFonts w:cs="Arial" w:ascii="Arial" w:hAnsi="Arial"/>
                <w:color w:val="000000"/>
                <w:lang w:eastAsia="en-US"/>
              </w:rPr>
              <w:t xml:space="preserve">PEC (Tim Hermann) revise Schedule for existing transactions subject to transfer price vs. grandfathered transactions </w:t>
            </w:r>
          </w:p>
          <w:p>
            <w:pPr>
              <w:pStyle w:val="Normal"/>
              <w:numPr>
                <w:ilvl w:val="0"/>
                <w:numId w:val="4"/>
              </w:numPr>
              <w:rPr>
                <w:rFonts w:ascii="Arial" w:hAnsi="Arial" w:cs="Arial"/>
                <w:color w:val="000000"/>
                <w:lang w:eastAsia="en-US"/>
              </w:rPr>
            </w:pPr>
            <w:r>
              <w:rPr>
                <w:rFonts w:cs="Arial" w:ascii="Arial" w:hAnsi="Arial"/>
                <w:color w:val="000000"/>
                <w:lang w:eastAsia="en-US"/>
              </w:rPr>
              <w:t>PEC (Tim Hermann) and ENA  (Laura Luce,Gregg Penman) commercial signoff</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Audit existing Hub transactions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Review existing PGL Hub transactions and determine value under transfer price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b/>
                <w:i/>
                <w:i/>
                <w:color w:val="000000"/>
                <w:lang w:eastAsia="en-US"/>
              </w:rPr>
            </w:pPr>
            <w:r>
              <w:rPr>
                <w:rFonts w:cs="Arial" w:ascii="Arial" w:hAnsi="Arial"/>
                <w:b/>
                <w:i/>
                <w:color w:val="000000"/>
                <w:lang w:eastAsia="en-US"/>
              </w:rPr>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Appoint officers, Commercial Development Manager, Business Development Manager, alternate Board Members.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Need to put names with titles in enovate Operating Agreement.  Determine need for officers and appointment of alternate board members. Name any designees for risk, credit or other reporting and control needs.</w:t>
            </w:r>
          </w:p>
        </w:tc>
        <w:tc>
          <w:tcPr>
            <w:tcW w:w="3960" w:type="dxa"/>
            <w:tcBorders>
              <w:top w:val="single" w:sz="6" w:space="0" w:color="000000"/>
              <w:bottom w:val="single" w:sz="6" w:space="0" w:color="000000"/>
              <w:end w:val="single" w:sz="6" w:space="0" w:color="000000"/>
            </w:tcBorders>
          </w:tcPr>
          <w:p>
            <w:pPr>
              <w:pStyle w:val="Normal"/>
              <w:numPr>
                <w:ilvl w:val="0"/>
                <w:numId w:val="40"/>
              </w:numPr>
              <w:rPr>
                <w:rFonts w:ascii="Arial" w:hAnsi="Arial" w:cs="Arial"/>
                <w:color w:val="000000"/>
                <w:lang w:eastAsia="en-US"/>
              </w:rPr>
            </w:pPr>
            <w:r>
              <w:rPr>
                <w:rFonts w:cs="Arial" w:ascii="Arial" w:hAnsi="Arial"/>
                <w:color w:val="000000"/>
                <w:lang w:eastAsia="en-US"/>
              </w:rPr>
              <w:t xml:space="preserve">enovate commercial personnel are discussing various roles and responsibilities </w:t>
            </w:r>
          </w:p>
        </w:tc>
        <w:tc>
          <w:tcPr>
            <w:tcW w:w="3510" w:type="dxa"/>
            <w:tcBorders>
              <w:top w:val="single" w:sz="6" w:space="0" w:color="000000"/>
              <w:bottom w:val="single" w:sz="6" w:space="0" w:color="000000"/>
              <w:end w:val="single" w:sz="6" w:space="0" w:color="000000"/>
            </w:tcBorders>
          </w:tcPr>
          <w:p>
            <w:pPr>
              <w:pStyle w:val="Normal"/>
              <w:numPr>
                <w:ilvl w:val="0"/>
                <w:numId w:val="34"/>
              </w:numPr>
              <w:rPr>
                <w:rFonts w:ascii="Arial" w:hAnsi="Arial" w:cs="Arial"/>
                <w:color w:val="000000"/>
                <w:lang w:eastAsia="en-US"/>
              </w:rPr>
            </w:pPr>
            <w:r>
              <w:rPr>
                <w:rFonts w:cs="Arial" w:ascii="Arial" w:hAnsi="Arial"/>
                <w:color w:val="000000"/>
                <w:lang w:eastAsia="en-US"/>
              </w:rPr>
              <w:t>enovate GM (Laura Luce) determine assignments by 9/25 with input from enovate commercial personnel (Gregg Penman, Richard Tomaski, Tim Hermann)</w:t>
            </w:r>
          </w:p>
          <w:p>
            <w:pPr>
              <w:pStyle w:val="Normal"/>
              <w:numPr>
                <w:ilvl w:val="0"/>
                <w:numId w:val="34"/>
              </w:numPr>
              <w:rPr>
                <w:rFonts w:ascii="Arial" w:hAnsi="Arial" w:cs="Arial"/>
                <w:color w:val="000000"/>
                <w:lang w:eastAsia="en-US"/>
              </w:rPr>
            </w:pPr>
            <w:r>
              <w:rPr>
                <w:rFonts w:cs="Arial" w:ascii="Arial" w:hAnsi="Arial"/>
                <w:color w:val="000000"/>
                <w:lang w:eastAsia="en-US"/>
              </w:rPr>
              <w:t>Enron counsel (Kay Mann) prepare Board resolutions by 9/29</w:t>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Initial Budget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operating budget and related marketing and operating plans by August 1st per enovate Operating Agreement.  Determine cash flow requirements of LLC.</w:t>
            </w:r>
          </w:p>
        </w:tc>
        <w:tc>
          <w:tcPr>
            <w:tcW w:w="3960" w:type="dxa"/>
            <w:tcBorders>
              <w:top w:val="single" w:sz="6" w:space="0" w:color="000000"/>
              <w:end w:val="single" w:sz="6" w:space="0" w:color="000000"/>
            </w:tcBorders>
          </w:tcPr>
          <w:p>
            <w:pPr>
              <w:pStyle w:val="Normal"/>
              <w:numPr>
                <w:ilvl w:val="0"/>
                <w:numId w:val="32"/>
              </w:numPr>
              <w:rPr>
                <w:rFonts w:ascii="Arial" w:hAnsi="Arial" w:cs="Arial"/>
                <w:color w:val="000000"/>
                <w:lang w:eastAsia="en-US"/>
              </w:rPr>
            </w:pPr>
            <w:r>
              <w:rPr>
                <w:rFonts w:cs="Arial" w:ascii="Arial" w:hAnsi="Arial"/>
                <w:color w:val="000000"/>
                <w:lang w:eastAsia="en-US"/>
              </w:rPr>
              <w:t>First budget numbers given to Laura on 9/8</w:t>
            </w:r>
          </w:p>
          <w:p>
            <w:pPr>
              <w:pStyle w:val="Normal"/>
              <w:numPr>
                <w:ilvl w:val="0"/>
                <w:numId w:val="32"/>
              </w:numPr>
              <w:rPr>
                <w:rFonts w:ascii="Arial" w:hAnsi="Arial" w:cs="Arial"/>
                <w:color w:val="000000"/>
                <w:lang w:eastAsia="en-US"/>
              </w:rPr>
            </w:pPr>
            <w:r>
              <w:rPr>
                <w:rFonts w:cs="Arial" w:ascii="Arial" w:hAnsi="Arial"/>
                <w:color w:val="000000"/>
                <w:lang w:eastAsia="en-US"/>
              </w:rPr>
              <w:t>Aggregating numbers to determine overall business budget</w:t>
            </w:r>
          </w:p>
        </w:tc>
        <w:tc>
          <w:tcPr>
            <w:tcW w:w="3510" w:type="dxa"/>
            <w:tcBorders>
              <w:top w:val="single" w:sz="6" w:space="0" w:color="000000"/>
              <w:end w:val="single" w:sz="6" w:space="0" w:color="000000"/>
            </w:tcBorders>
          </w:tcPr>
          <w:p>
            <w:pPr>
              <w:pStyle w:val="Normal"/>
              <w:numPr>
                <w:ilvl w:val="0"/>
                <w:numId w:val="22"/>
              </w:numPr>
              <w:rPr>
                <w:rFonts w:ascii="Arial" w:hAnsi="Arial" w:cs="Arial"/>
                <w:color w:val="000000"/>
                <w:lang w:eastAsia="en-US"/>
              </w:rPr>
            </w:pPr>
            <w:r>
              <w:rPr>
                <w:rFonts w:cs="Arial" w:ascii="Arial" w:hAnsi="Arial"/>
                <w:color w:val="000000"/>
                <w:lang w:eastAsia="en-US"/>
              </w:rPr>
              <w:t>Review individual budgets for accuracy</w:t>
            </w:r>
          </w:p>
          <w:p>
            <w:pPr>
              <w:pStyle w:val="Normal"/>
              <w:numPr>
                <w:ilvl w:val="0"/>
                <w:numId w:val="22"/>
              </w:numPr>
              <w:rPr>
                <w:rFonts w:ascii="Arial" w:hAnsi="Arial" w:cs="Arial"/>
                <w:color w:val="000000"/>
                <w:lang w:eastAsia="en-US"/>
              </w:rPr>
            </w:pPr>
            <w:r>
              <w:rPr>
                <w:rFonts w:cs="Arial" w:ascii="Arial" w:hAnsi="Arial"/>
                <w:color w:val="000000"/>
                <w:lang w:eastAsia="en-US"/>
              </w:rPr>
              <w:t xml:space="preserve">Aggregate numbers to determine overall business budget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Back Office Support/Booking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05-Oct.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readiness of back office functions, including risk management, logistics, and accounting, to support transaction processes.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p>
            <w:pPr>
              <w:pStyle w:val="Normal"/>
              <w:numPr>
                <w:ilvl w:val="0"/>
                <w:numId w:val="21"/>
              </w:numPr>
              <w:rPr>
                <w:rFonts w:ascii="Arial" w:hAnsi="Arial" w:cs="Arial"/>
                <w:color w:val="000000"/>
                <w:lang w:eastAsia="en-US"/>
              </w:rPr>
            </w:pPr>
            <w:r>
              <w:rPr>
                <w:rFonts w:cs="Arial" w:ascii="Arial" w:hAnsi="Arial"/>
                <w:color w:val="000000"/>
                <w:lang w:eastAsia="en-US"/>
              </w:rPr>
              <w:t>Ongoing</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pPr>
      <w:r>
        <w:rPr/>
      </w:r>
    </w:p>
    <w:sectPr>
      <w:footerReference w:type="default" r:id="rId2"/>
      <w:type w:val="nextPage"/>
      <w:pgSz w:orient="landscape" w:w="15840" w:h="12240"/>
      <w:pgMar w:left="360" w:right="360" w:gutter="0" w:header="0" w:top="57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t xml:space="preserve">Confidential - </w:t>
    </w:r>
    <w:r>
      <w:rPr>
        <w:i/>
      </w:rPr>
      <w:fldChar w:fldCharType="begin"/>
    </w:r>
    <w:r>
      <w:rPr>
        <w:i/>
      </w:rPr>
      <w:instrText xml:space="preserve"> DATE \@"MM\/dd\/yy" </w:instrText>
    </w:r>
    <w:r>
      <w:rPr>
        <w:i/>
      </w:rPr>
      <w:fldChar w:fldCharType="separate"/>
    </w:r>
    <w:r>
      <w:rPr>
        <w:i/>
      </w:rPr>
      <w:t>09/28/25</w:t>
    </w:r>
    <w:r>
      <w:rPr>
        <w:i/>
      </w:rPr>
      <w:fldChar w:fldCharType="end"/>
    </w:r>
    <w:r>
      <w:rPr>
        <w:i/>
        <w:lang w:eastAsia="en-US"/>
      </w:rPr>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outlineLvl w:val="1"/>
    </w:pPr>
    <w:rPr>
      <w:rFonts w:ascii="Arial" w:hAnsi="Arial" w:cs="Arial"/>
      <w:b/>
      <w:i/>
      <w:color w:val="000000"/>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2000-10-13T16:33:00Z</dcterms:created>
  <dc:creator>gpenman</dc:creator>
  <dc:description/>
  <dc:language>en-CA</dc:language>
  <cp:lastModifiedBy>gpenman</cp:lastModifiedBy>
  <cp:lastPrinted>2000-10-06T14:31:00Z</cp:lastPrinted>
  <dcterms:modified xsi:type="dcterms:W3CDTF">2000-10-13T16:33:00Z</dcterms:modified>
  <cp:revision>2</cp:revision>
  <dc:subject/>
  <dc:title>enovate, L</dc:title>
</cp:coreProperties>
</file>