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embeddings/oleObject2.xlsx" ContentType="application/vnd.openxmlformats-officedocument.spreadsheetml.sheet"/>
  <Override PartName="/word/media/image1.wmf" ContentType="image/x-wmf"/>
  <Override PartName="/word/media/image2.png" ContentType="image/png"/>
  <Override PartName="/word/media/image3.wmf" ContentType="image/x-wmf"/>
  <Override PartName="/word/media/image4.png" ContentType="image/png"/>
  <Override PartName="/word/media/image5.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0000"/>
        </w:rPr>
      </w:pPr>
      <w:r>
        <w:rPr>
          <w:color w:val="000000"/>
        </w:rPr>
      </w:r>
    </w:p>
    <w:p>
      <w:pPr>
        <w:pStyle w:val="Heading1"/>
        <w:ind w:hanging="0" w:start="0"/>
        <w:jc w:val="center"/>
        <w:rPr>
          <w:color w:val="0000FF"/>
          <w:sz w:val="96"/>
          <w:u w:val="none"/>
        </w:rPr>
      </w:pPr>
      <w:r>
        <w:rPr>
          <w:color w:val="0000FF"/>
          <w:sz w:val="96"/>
          <w:u w:val="none"/>
        </w:rPr>
        <w:t>Enron Emissions Services</w:t>
      </w:r>
    </w:p>
    <w:p>
      <w:pPr>
        <w:pStyle w:val="Normal"/>
        <w:rPr>
          <w:color w:val="0000FF"/>
          <w:sz w:val="96"/>
          <w:u w:val="none"/>
        </w:rPr>
      </w:pPr>
      <w:r>
        <w:rPr>
          <w:color w:val="0000FF"/>
          <w:sz w:val="96"/>
          <w:u w:val="none"/>
        </w:rPr>
      </w:r>
    </w:p>
    <w:p>
      <w:pPr>
        <w:pStyle w:val="Normal"/>
        <w:rPr/>
      </w:pPr>
      <w:r>
        <w:rPr/>
      </w:r>
    </w:p>
    <w:p>
      <w:pPr>
        <w:pStyle w:val="Heading1"/>
        <w:ind w:hanging="0" w:start="0"/>
        <w:jc w:val="center"/>
        <w:rPr>
          <w:color w:val="0000FF"/>
          <w:sz w:val="52"/>
          <w:u w:val="none"/>
        </w:rPr>
      </w:pPr>
      <w:r>
        <w:rPr>
          <w:color w:val="0000FF"/>
          <w:sz w:val="52"/>
          <w:u w:val="none"/>
        </w:rPr>
        <w:t xml:space="preserve">Business Plan </w:t>
      </w:r>
    </w:p>
    <w:p>
      <w:pPr>
        <w:pStyle w:val="Heading1"/>
        <w:ind w:hanging="0" w:start="0"/>
        <w:jc w:val="center"/>
        <w:rPr>
          <w:color w:val="0000FF"/>
          <w:sz w:val="96"/>
          <w:u w:val="none"/>
        </w:rPr>
      </w:pPr>
      <w:r>
        <w:rPr>
          <w:color w:val="0000FF"/>
          <w:sz w:val="52"/>
          <w:u w:val="none"/>
        </w:rPr>
        <w:t>2002</w:t>
      </w:r>
      <w:r>
        <w:rPr>
          <w:color w:val="0000FF"/>
          <w:u w:val="none"/>
        </w:rPr>
        <w:t xml:space="preserve"> </w:t>
      </w:r>
      <w:r>
        <w:br w:type="page"/>
      </w:r>
    </w:p>
    <w:p>
      <w:pPr>
        <w:pStyle w:val="Heading1"/>
        <w:ind w:hanging="0" w:start="0"/>
        <w:jc w:val="center"/>
        <w:rPr>
          <w:color w:val="0000FF"/>
          <w:sz w:val="96"/>
          <w:u w:val="none"/>
        </w:rPr>
      </w:pPr>
      <w:r>
        <w:rPr>
          <w:color w:val="0000FF"/>
          <w:sz w:val="96"/>
          <w:u w:val="none"/>
        </w:rPr>
      </w:r>
    </w:p>
    <w:p>
      <w:pPr>
        <w:pStyle w:val="Heading1"/>
        <w:ind w:hanging="0" w:start="0"/>
        <w:rPr>
          <w:color w:val="000000"/>
        </w:rPr>
      </w:pPr>
      <w:r>
        <w:rPr>
          <w:color w:val="000000"/>
        </w:rPr>
        <w:t>Executive Summary</w:t>
      </w:r>
    </w:p>
    <w:p>
      <w:pPr>
        <w:pStyle w:val="Normal"/>
        <w:rPr>
          <w:rFonts w:ascii="Arial" w:hAnsi="Arial" w:cs="Arial"/>
          <w:color w:val="000000"/>
        </w:rPr>
      </w:pPr>
      <w:r>
        <w:rPr>
          <w:rFonts w:cs="Arial" w:ascii="Arial" w:hAnsi="Arial"/>
          <w:color w:val="000000"/>
        </w:rPr>
      </w:r>
    </w:p>
    <w:p>
      <w:pPr>
        <w:pStyle w:val="Heading1"/>
        <w:ind w:hanging="0" w:start="0"/>
        <w:rPr>
          <w:color w:val="000000"/>
        </w:rPr>
      </w:pPr>
      <w:r>
        <w:rPr>
          <w:color w:val="000000"/>
        </w:rPr>
        <w:t>Business Analysis</w:t>
      </w:r>
    </w:p>
    <w:p>
      <w:pPr>
        <w:pStyle w:val="Normal"/>
        <w:rPr>
          <w:rFonts w:ascii="Arial" w:hAnsi="Arial" w:cs="Arial"/>
          <w:color w:val="000000"/>
          <w:u w:val="single"/>
        </w:rPr>
      </w:pPr>
      <w:r>
        <w:rPr>
          <w:rFonts w:cs="Arial" w:ascii="Arial" w:hAnsi="Arial"/>
          <w:color w:val="000000"/>
          <w:u w:val="single"/>
        </w:rPr>
      </w:r>
    </w:p>
    <w:p>
      <w:pPr>
        <w:pStyle w:val="Heading1"/>
        <w:ind w:hanging="0" w:start="0"/>
        <w:rPr>
          <w:color w:val="000000"/>
        </w:rPr>
      </w:pPr>
      <w:r>
        <w:rPr>
          <w:color w:val="000000"/>
        </w:rPr>
        <w:t>Market Analysis</w:t>
      </w:r>
    </w:p>
    <w:p>
      <w:pPr>
        <w:pStyle w:val="Normal"/>
        <w:rPr>
          <w:rFonts w:ascii="Arial" w:hAnsi="Arial" w:cs="Arial"/>
          <w:color w:val="000000"/>
        </w:rPr>
      </w:pPr>
      <w:r>
        <w:rPr>
          <w:rFonts w:cs="Arial" w:ascii="Arial" w:hAnsi="Arial"/>
          <w:color w:val="000000"/>
        </w:rPr>
      </w:r>
    </w:p>
    <w:p>
      <w:pPr>
        <w:pStyle w:val="Normal"/>
        <w:ind w:start="720" w:end="0"/>
        <w:rPr>
          <w:rFonts w:ascii="Arial" w:hAnsi="Arial" w:cs="Arial"/>
          <w:color w:val="000000"/>
        </w:rPr>
      </w:pPr>
      <w:r>
        <w:rPr>
          <w:rFonts w:cs="Arial" w:ascii="Arial" w:hAnsi="Arial"/>
          <w:color w:val="000000"/>
        </w:rPr>
        <w:tab/>
        <w:t xml:space="preserve">Enron is now a major market participant in most US emission markets.  The major markets are the SO2 acid rain program, NOx SIP Call, OTR NOx, HGA NOx Cap and Trade, and various ERC and DERC markets.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Customers</w:t>
      </w:r>
    </w:p>
    <w:p>
      <w:pPr>
        <w:pStyle w:val="Normal"/>
        <w:rPr>
          <w:rFonts w:ascii="Arial" w:hAnsi="Arial" w:cs="Arial"/>
          <w:color w:val="000000"/>
        </w:rPr>
      </w:pPr>
      <w:r>
        <w:rPr>
          <w:rFonts w:cs="Arial" w:ascii="Arial" w:hAnsi="Arial"/>
          <w:color w:val="000000"/>
        </w:rPr>
      </w:r>
    </w:p>
    <w:p>
      <w:pPr>
        <w:pStyle w:val="Heading"/>
        <w:rPr>
          <w:color w:val="000000"/>
        </w:rPr>
      </w:pPr>
      <w:r>
        <w:rPr>
          <w:color w:val="000000"/>
        </w:rPr>
        <w:t>Enron Emissions Services Business Plan</w:t>
      </w:r>
    </w:p>
    <w:p>
      <w:pPr>
        <w:pStyle w:val="Normal"/>
        <w:numPr>
          <w:ilvl w:val="0"/>
          <w:numId w:val="5"/>
        </w:numPr>
        <w:rPr>
          <w:rFonts w:ascii="Arial" w:hAnsi="Arial" w:cs="Arial"/>
          <w:color w:val="000000"/>
        </w:rPr>
      </w:pPr>
      <w:r>
        <w:rPr>
          <w:rFonts w:cs="Arial" w:ascii="Arial" w:hAnsi="Arial"/>
          <w:color w:val="000000"/>
        </w:rPr>
        <w:t>Executive Summary</w:t>
      </w:r>
    </w:p>
    <w:p>
      <w:pPr>
        <w:pStyle w:val="Normal"/>
        <w:numPr>
          <w:ilvl w:val="0"/>
          <w:numId w:val="5"/>
        </w:numPr>
        <w:rPr>
          <w:rFonts w:ascii="Arial" w:hAnsi="Arial" w:cs="Arial"/>
          <w:color w:val="000000"/>
        </w:rPr>
      </w:pPr>
      <w:r>
        <w:rPr>
          <w:rFonts w:cs="Arial" w:ascii="Arial" w:hAnsi="Arial"/>
          <w:color w:val="000000"/>
        </w:rPr>
        <w:t>Business Analysis</w:t>
      </w:r>
    </w:p>
    <w:p>
      <w:pPr>
        <w:pStyle w:val="Normal"/>
        <w:numPr>
          <w:ilvl w:val="1"/>
          <w:numId w:val="5"/>
        </w:numPr>
        <w:rPr>
          <w:rFonts w:ascii="Arial" w:hAnsi="Arial" w:cs="Arial"/>
          <w:color w:val="000000"/>
        </w:rPr>
      </w:pPr>
      <w:r>
        <w:rPr>
          <w:rFonts w:cs="Arial" w:ascii="Arial" w:hAnsi="Arial"/>
          <w:color w:val="000000"/>
        </w:rPr>
        <w:t>History</w:t>
      </w:r>
    </w:p>
    <w:p>
      <w:pPr>
        <w:pStyle w:val="Normal"/>
        <w:numPr>
          <w:ilvl w:val="1"/>
          <w:numId w:val="5"/>
        </w:numPr>
        <w:rPr>
          <w:rFonts w:ascii="Arial" w:hAnsi="Arial" w:cs="Arial"/>
          <w:color w:val="000000"/>
        </w:rPr>
      </w:pPr>
      <w:r>
        <w:rPr>
          <w:rFonts w:cs="Arial" w:ascii="Arial" w:hAnsi="Arial"/>
          <w:color w:val="000000"/>
        </w:rPr>
        <w:t>Opportunity</w:t>
      </w:r>
    </w:p>
    <w:p>
      <w:pPr>
        <w:pStyle w:val="Normal"/>
        <w:numPr>
          <w:ilvl w:val="1"/>
          <w:numId w:val="5"/>
        </w:numPr>
        <w:rPr>
          <w:rFonts w:ascii="Arial" w:hAnsi="Arial" w:cs="Arial"/>
          <w:color w:val="000000"/>
        </w:rPr>
      </w:pPr>
      <w:r>
        <w:rPr>
          <w:rFonts w:cs="Arial" w:ascii="Arial" w:hAnsi="Arial"/>
          <w:color w:val="000000"/>
        </w:rPr>
        <w:t>Products and Services</w:t>
      </w:r>
    </w:p>
    <w:p>
      <w:pPr>
        <w:pStyle w:val="Normal"/>
        <w:numPr>
          <w:ilvl w:val="2"/>
          <w:numId w:val="5"/>
        </w:numPr>
        <w:rPr>
          <w:rFonts w:ascii="Arial" w:hAnsi="Arial" w:cs="Arial"/>
          <w:color w:val="000000"/>
        </w:rPr>
      </w:pPr>
      <w:r>
        <w:rPr>
          <w:rFonts w:cs="Arial" w:ascii="Arial" w:hAnsi="Arial"/>
          <w:color w:val="000000"/>
        </w:rPr>
        <w:t xml:space="preserve">Uniqueness? </w:t>
      </w:r>
    </w:p>
    <w:p>
      <w:pPr>
        <w:pStyle w:val="Normal"/>
        <w:numPr>
          <w:ilvl w:val="0"/>
          <w:numId w:val="5"/>
        </w:numPr>
        <w:rPr>
          <w:rFonts w:ascii="Arial" w:hAnsi="Arial" w:cs="Arial"/>
          <w:color w:val="000000"/>
        </w:rPr>
      </w:pPr>
      <w:r>
        <w:rPr>
          <w:rFonts w:cs="Arial" w:ascii="Arial" w:hAnsi="Arial"/>
          <w:color w:val="000000"/>
        </w:rPr>
        <w:t xml:space="preserve">Market Analysis- </w:t>
      </w:r>
    </w:p>
    <w:p>
      <w:pPr>
        <w:pStyle w:val="Normal"/>
        <w:numPr>
          <w:ilvl w:val="1"/>
          <w:numId w:val="5"/>
        </w:numPr>
        <w:rPr>
          <w:rFonts w:ascii="Arial" w:hAnsi="Arial" w:cs="Arial"/>
          <w:color w:val="000000"/>
        </w:rPr>
      </w:pPr>
      <w:r>
        <w:rPr>
          <w:rFonts w:cs="Arial" w:ascii="Arial" w:hAnsi="Arial"/>
          <w:color w:val="000000"/>
        </w:rPr>
        <w:t>Markets</w:t>
      </w:r>
    </w:p>
    <w:p>
      <w:pPr>
        <w:pStyle w:val="Heading4"/>
        <w:ind w:hanging="0" w:start="0"/>
        <w:rPr/>
      </w:pPr>
      <w:r>
        <w:rPr/>
        <w:t>SO2</w:t>
      </w:r>
    </w:p>
    <w:p>
      <w:pPr>
        <w:pStyle w:val="Heading3"/>
        <w:ind w:hanging="0" w:start="0"/>
        <w:rPr>
          <w:color w:val="000000"/>
        </w:rPr>
      </w:pPr>
      <w:r>
        <w:rPr>
          <w:color w:val="000000"/>
        </w:rPr>
        <w:t>The Market</w:t>
      </w:r>
    </w:p>
    <w:p>
      <w:pPr>
        <w:pStyle w:val="Normal"/>
        <w:rPr>
          <w:rFonts w:ascii="Arial" w:hAnsi="Arial" w:cs="Arial"/>
          <w:color w:val="000000"/>
        </w:rPr>
      </w:pPr>
      <w:r>
        <w:rPr>
          <w:rFonts w:cs="Arial" w:ascii="Arial" w:hAnsi="Arial"/>
          <w:color w:val="000000"/>
        </w:rPr>
      </w:r>
    </w:p>
    <w:p>
      <w:pPr>
        <w:pStyle w:val="BodyText"/>
        <w:rPr>
          <w:rFonts w:ascii="Arial" w:hAnsi="Arial" w:cs="Arial"/>
          <w:color w:val="000000"/>
        </w:rPr>
      </w:pPr>
      <w:r>
        <w:rPr>
          <w:rFonts w:cs="Arial" w:ascii="Arial" w:hAnsi="Arial"/>
          <w:color w:val="000000"/>
        </w:rPr>
        <w:t>The U.S. Environmental Protection Agency’s (EPA) Acid Rain Program is well established, with a defined and homogenous tradable instrument - the SO2 Emission Allowance. The Acid Rain Program falls under Title IV of the 1990 Clean Air Act Amendments and was established to achieve significant reductions in the emissions of sulfur dioxide (SO2) and nitrogen oxide (NOx), the primary causes of acid rain. The regulations state that emissions of SO2 in the U.S. must be reduced by 10 million tons below the 1980 emission levels. Essentially, every major fossil fuel-burning electric production facility in the United States is affected under Title IV.  The program affects over 2000 utility units.</w:t>
      </w:r>
    </w:p>
    <w:p>
      <w:pPr>
        <w:pStyle w:val="Heading3"/>
        <w:ind w:hanging="0" w:start="0"/>
        <w:rPr>
          <w:rFonts w:ascii="Arial" w:hAnsi="Arial" w:cs="Arial"/>
          <w:color w:val="000000"/>
        </w:rPr>
      </w:pPr>
      <w:r>
        <w:rPr>
          <w:rFonts w:cs="Arial"/>
          <w:color w:val="000000"/>
        </w:rPr>
      </w:r>
    </w:p>
    <w:p>
      <w:pPr>
        <w:pStyle w:val="Heading3"/>
        <w:ind w:hanging="0" w:start="0"/>
        <w:rPr>
          <w:color w:val="000000"/>
        </w:rPr>
      </w:pPr>
      <w:r>
        <w:rPr>
          <w:color w:val="000000"/>
        </w:rPr>
        <w:t>Trades</w:t>
      </w:r>
    </w:p>
    <w:p>
      <w:pPr>
        <w:pStyle w:val="Normal"/>
        <w:rPr>
          <w:rFonts w:ascii="Arial" w:hAnsi="Arial" w:cs="Arial"/>
          <w:color w:val="000000"/>
        </w:rPr>
      </w:pPr>
      <w:r>
        <w:rPr>
          <w:rFonts w:cs="Arial" w:ascii="Arial" w:hAnsi="Arial"/>
          <w:color w:val="000000"/>
        </w:rPr>
      </w:r>
    </w:p>
    <w:p>
      <w:pPr>
        <w:pStyle w:val="Normal"/>
        <w:numPr>
          <w:ilvl w:val="0"/>
          <w:numId w:val="3"/>
        </w:numPr>
        <w:rPr>
          <w:rFonts w:ascii="Arial" w:hAnsi="Arial" w:cs="Arial"/>
          <w:color w:val="000000"/>
        </w:rPr>
      </w:pPr>
      <w:r>
        <w:rPr>
          <w:rFonts w:cs="Arial" w:ascii="Arial" w:hAnsi="Arial"/>
          <w:color w:val="000000"/>
        </w:rPr>
        <w:t>Typical OTC daily volume from 25,000 – 50,000 tons</w:t>
      </w:r>
    </w:p>
    <w:p>
      <w:pPr>
        <w:pStyle w:val="Normal"/>
        <w:numPr>
          <w:ilvl w:val="0"/>
          <w:numId w:val="3"/>
        </w:numPr>
        <w:rPr>
          <w:rFonts w:ascii="Arial" w:hAnsi="Arial" w:cs="Arial"/>
          <w:color w:val="000000"/>
        </w:rPr>
      </w:pPr>
      <w:r>
        <w:rPr>
          <w:rFonts w:cs="Arial" w:ascii="Arial" w:hAnsi="Arial"/>
          <w:color w:val="000000"/>
        </w:rPr>
        <w:t>45 million tons transferred from 4/97 to 12/00</w:t>
      </w:r>
    </w:p>
    <w:p>
      <w:pPr>
        <w:pStyle w:val="Normal"/>
        <w:numPr>
          <w:ilvl w:val="0"/>
          <w:numId w:val="3"/>
        </w:numPr>
        <w:rPr>
          <w:rFonts w:ascii="Arial" w:hAnsi="Arial" w:cs="Arial"/>
          <w:color w:val="000000"/>
        </w:rPr>
      </w:pPr>
      <w:r>
        <w:rPr>
          <w:rFonts w:cs="Arial" w:ascii="Arial" w:hAnsi="Arial"/>
          <w:color w:val="000000"/>
        </w:rPr>
        <w:t>Most actively traded emission allowance or credit</w:t>
      </w:r>
    </w:p>
    <w:p>
      <w:pPr>
        <w:pStyle w:val="Normal"/>
        <w:ind w:start="360" w:end="0"/>
        <w:rPr>
          <w:rFonts w:ascii="Arial" w:hAnsi="Arial" w:cs="Arial"/>
          <w:color w:val="000000"/>
          <w:highlight w:val="blue"/>
        </w:rPr>
      </w:pPr>
      <w:r>
        <w:rPr>
          <w:rFonts w:cs="Arial" w:ascii="Arial" w:hAnsi="Arial"/>
          <w:color w:val="000000"/>
        </w:rPr>
        <w:br/>
      </w:r>
      <w:r>
        <w:rPr/>
        <w:t xml:space="preserve"> </w:t>
      </w:r>
      <w:r>
        <w:rPr>
          <w:highlight w:val="blue"/>
        </w:rPr>
        <w:object w:dxaOrig="7681" w:dyaOrig="4097">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368.25pt;height:209.25pt" filled="f" o:ole="">
            <v:imagedata r:id="rId3" o:title=""/>
          </v:shape>
          <o:OLEObject Type="Embed" ProgID="Excel.Sheet.12" ShapeID="ole_rId2" DrawAspect="Content" ObjectID="_156471485" r:id="rId2"/>
        </w:object>
      </w:r>
    </w:p>
    <w:p>
      <w:pPr>
        <w:pStyle w:val="Normal"/>
        <w:ind w:start="360" w:end="0"/>
        <w:rPr>
          <w:rFonts w:ascii="Arial" w:hAnsi="Arial" w:cs="Arial"/>
          <w:color w:val="000000"/>
          <w:highlight w:val="blue"/>
        </w:rPr>
      </w:pPr>
      <w:r>
        <w:rPr>
          <w:rFonts w:cs="Arial" w:ascii="Arial" w:hAnsi="Arial"/>
          <w:color w:val="000000"/>
          <w:highlight w:val="blue"/>
        </w:rPr>
      </w:r>
    </w:p>
    <w:p>
      <w:pPr>
        <w:pStyle w:val="Normal"/>
        <w:rPr>
          <w:rFonts w:ascii="Arial" w:hAnsi="Arial" w:cs="Arial"/>
          <w:color w:val="000000"/>
          <w:highlight w:val="blue"/>
        </w:rPr>
      </w:pPr>
      <w:r>
        <w:rPr>
          <w:rFonts w:cs="Arial" w:ascii="Arial" w:hAnsi="Arial"/>
          <w:color w:val="000000"/>
          <w:highlight w:val="blue"/>
        </w:rPr>
      </w:r>
    </w:p>
    <w:p>
      <w:pPr>
        <w:pStyle w:val="Normal"/>
        <w:tabs>
          <w:tab w:val="clear" w:pos="720"/>
          <w:tab w:val="left" w:pos="900" w:leader="none"/>
        </w:tabs>
        <w:rPr>
          <w:rFonts w:ascii="Arial" w:hAnsi="Arial" w:cs="Arial"/>
          <w:color w:val="000000"/>
        </w:rPr>
      </w:pPr>
      <w:r>
        <w:rPr>
          <w:rFonts w:cs="Arial" w:ascii="Arial" w:hAnsi="Arial"/>
          <w:color w:val="000000"/>
        </w:rPr>
        <w:tab/>
      </w:r>
    </w:p>
    <w:p>
      <w:pPr>
        <w:pStyle w:val="Heading4"/>
        <w:ind w:hanging="0" w:start="720" w:end="0"/>
        <w:rPr>
          <w:b w:val="false"/>
          <w:bCs w:val="false"/>
          <w:highlight w:val="blue"/>
        </w:rPr>
      </w:pPr>
      <w:r>
        <w:rPr>
          <w:b w:val="false"/>
          <w:bCs w:val="false"/>
        </w:rPr>
        <w:t>45.3 Million SO2 Emission Allowances transferred from 4/97 to 12/00</w:t>
      </w:r>
    </w:p>
    <w:p>
      <w:pPr>
        <w:pStyle w:val="Normal"/>
        <w:rPr>
          <w:rFonts w:ascii="Arial" w:hAnsi="Arial" w:cs="Arial"/>
          <w:b/>
          <w:bCs/>
          <w:color w:val="000000"/>
          <w:highlight w:val="blue"/>
        </w:rPr>
      </w:pPr>
      <w:r>
        <w:rPr>
          <w:rFonts w:cs="Arial" w:ascii="Arial" w:hAnsi="Arial"/>
          <w:b/>
          <w:bCs/>
          <w:color w:val="000000"/>
          <w:highlight w:val="blue"/>
        </w:rPr>
      </w:r>
    </w:p>
    <w:p>
      <w:pPr>
        <w:pStyle w:val="Normal"/>
        <w:ind w:firstLine="180" w:start="900" w:end="0"/>
        <w:rPr/>
      </w:pPr>
      <w:r>
        <w:rPr>
          <w:color w:val="0000FF"/>
          <w:highlight w:val="blue"/>
        </w:rPr>
        <w:drawing>
          <wp:inline distT="0" distB="0" distL="0" distR="0">
            <wp:extent cx="3001010" cy="2750820"/>
            <wp:effectExtent l="0" t="0" r="0" b="0"/>
            <wp:docPr id="1" name="btwnorgpi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twnorgpie" descr="" title=""/>
                    <pic:cNvPicPr>
                      <a:picLocks noChangeAspect="1" noChangeArrowheads="1"/>
                    </pic:cNvPicPr>
                  </pic:nvPicPr>
                  <pic:blipFill>
                    <a:blip r:embed="rId4"/>
                    <a:srcRect l="-1410" t="19246" r="-12" b="-11"/>
                    <a:stretch>
                      <a:fillRect/>
                    </a:stretch>
                  </pic:blipFill>
                  <pic:spPr bwMode="auto">
                    <a:xfrm>
                      <a:off x="0" y="0"/>
                      <a:ext cx="3001010" cy="2750820"/>
                    </a:xfrm>
                    <a:prstGeom prst="rect">
                      <a:avLst/>
                    </a:prstGeom>
                    <a:noFill/>
                  </pic:spPr>
                </pic:pic>
              </a:graphicData>
            </a:graphic>
          </wp:inline>
        </w:drawing>
      </w:r>
      <w:r>
        <w:rPr>
          <w:rFonts w:cs="Arial" w:ascii="Arial" w:hAnsi="Arial"/>
          <w:color w:val="000000"/>
        </w:rPr>
        <w:br/>
      </w:r>
    </w:p>
    <w:p>
      <w:pPr>
        <w:pStyle w:val="Heading3"/>
        <w:ind w:hanging="0" w:start="0"/>
        <w:rPr>
          <w:color w:val="000000"/>
        </w:rPr>
      </w:pPr>
      <w:r>
        <w:rPr>
          <w:color w:val="000000"/>
        </w:rPr>
        <w:t>Transaction Types</w:t>
      </w:r>
    </w:p>
    <w:p>
      <w:pPr>
        <w:pStyle w:val="Normal"/>
        <w:rPr>
          <w:rFonts w:ascii="Arial" w:hAnsi="Arial" w:cs="Arial"/>
          <w:color w:val="000000"/>
          <w:u w:val="single"/>
        </w:rPr>
      </w:pPr>
      <w:r>
        <w:rPr>
          <w:rFonts w:cs="Arial" w:ascii="Arial" w:hAnsi="Arial"/>
          <w:color w:val="000000"/>
          <w:u w:val="single"/>
        </w:rPr>
      </w:r>
    </w:p>
    <w:p>
      <w:pPr>
        <w:pStyle w:val="Normal"/>
        <w:numPr>
          <w:ilvl w:val="0"/>
          <w:numId w:val="7"/>
        </w:numPr>
        <w:rPr>
          <w:rFonts w:ascii="Arial" w:hAnsi="Arial" w:cs="Arial"/>
          <w:color w:val="000000"/>
          <w:szCs w:val="18"/>
        </w:rPr>
      </w:pPr>
      <w:r>
        <w:rPr>
          <w:rFonts w:cs="Arial" w:ascii="Arial" w:hAnsi="Arial"/>
          <w:color w:val="000000"/>
          <w:szCs w:val="18"/>
        </w:rPr>
        <w:t>Immediate Settlement Transactions</w:t>
      </w:r>
    </w:p>
    <w:p>
      <w:pPr>
        <w:pStyle w:val="Normal"/>
        <w:numPr>
          <w:ilvl w:val="0"/>
          <w:numId w:val="7"/>
        </w:numPr>
        <w:rPr>
          <w:rFonts w:ascii="Arial" w:hAnsi="Arial" w:cs="Arial"/>
          <w:color w:val="000000"/>
          <w:szCs w:val="18"/>
        </w:rPr>
      </w:pPr>
      <w:r>
        <w:rPr>
          <w:rFonts w:cs="Arial" w:ascii="Arial" w:hAnsi="Arial"/>
          <w:color w:val="000000"/>
          <w:szCs w:val="18"/>
        </w:rPr>
        <w:t xml:space="preserve">Forward Transactions </w:t>
      </w:r>
    </w:p>
    <w:p>
      <w:pPr>
        <w:pStyle w:val="Normal"/>
        <w:numPr>
          <w:ilvl w:val="0"/>
          <w:numId w:val="7"/>
        </w:numPr>
        <w:rPr>
          <w:rFonts w:ascii="Arial" w:hAnsi="Arial" w:cs="Arial"/>
          <w:color w:val="000000"/>
          <w:szCs w:val="18"/>
        </w:rPr>
      </w:pPr>
      <w:r>
        <w:rPr>
          <w:rFonts w:cs="Arial" w:ascii="Arial" w:hAnsi="Arial"/>
          <w:color w:val="000000"/>
          <w:szCs w:val="18"/>
        </w:rPr>
        <w:t xml:space="preserve">Cross-commodity or Interpollutant Swaps </w:t>
      </w:r>
    </w:p>
    <w:p>
      <w:pPr>
        <w:pStyle w:val="Normal"/>
        <w:numPr>
          <w:ilvl w:val="0"/>
          <w:numId w:val="7"/>
        </w:numPr>
        <w:rPr>
          <w:rFonts w:ascii="Arial" w:hAnsi="Arial" w:cs="Arial"/>
          <w:color w:val="000000"/>
          <w:szCs w:val="18"/>
        </w:rPr>
      </w:pPr>
      <w:r>
        <w:rPr>
          <w:rFonts w:cs="Arial" w:ascii="Arial" w:hAnsi="Arial"/>
          <w:color w:val="000000"/>
          <w:szCs w:val="18"/>
        </w:rPr>
        <w:t>Vintage Swaps</w:t>
      </w:r>
    </w:p>
    <w:p>
      <w:pPr>
        <w:pStyle w:val="Normal"/>
        <w:numPr>
          <w:ilvl w:val="0"/>
          <w:numId w:val="7"/>
        </w:numPr>
        <w:rPr>
          <w:rFonts w:ascii="Arial" w:hAnsi="Arial" w:cs="Arial"/>
          <w:color w:val="000000"/>
          <w:szCs w:val="18"/>
        </w:rPr>
      </w:pPr>
      <w:r>
        <w:rPr>
          <w:rFonts w:cs="Arial" w:ascii="Arial" w:hAnsi="Arial"/>
          <w:color w:val="000000"/>
          <w:szCs w:val="18"/>
        </w:rPr>
        <w:t>Option Transactions</w:t>
      </w:r>
    </w:p>
    <w:p>
      <w:pPr>
        <w:pStyle w:val="Normal"/>
        <w:numPr>
          <w:ilvl w:val="0"/>
          <w:numId w:val="7"/>
        </w:numPr>
        <w:rPr>
          <w:rFonts w:ascii="Arial" w:hAnsi="Arial" w:cs="Arial"/>
          <w:color w:val="000000"/>
          <w:u w:val="single"/>
        </w:rPr>
      </w:pPr>
      <w:r>
        <w:rPr>
          <w:rFonts w:cs="Arial" w:ascii="Arial" w:hAnsi="Arial"/>
          <w:color w:val="000000"/>
          <w:szCs w:val="18"/>
        </w:rPr>
        <w:t>Stream Transactions</w:t>
      </w:r>
    </w:p>
    <w:p>
      <w:pPr>
        <w:pStyle w:val="Normal"/>
        <w:rPr>
          <w:rFonts w:ascii="Arial" w:hAnsi="Arial" w:cs="Arial"/>
          <w:color w:val="000000"/>
        </w:rPr>
      </w:pPr>
      <w:r>
        <w:rPr>
          <w:rFonts w:cs="Arial" w:ascii="Arial" w:hAnsi="Arial"/>
          <w:color w:val="000000"/>
          <w:highlight w:val="yellow"/>
        </w:rPr>
        <w:t>What is the percentage ENE is involved in, total number, etc?</w:t>
      </w:r>
    </w:p>
    <w:p>
      <w:pPr>
        <w:pStyle w:val="Normal"/>
        <w:rPr>
          <w:rFonts w:ascii="Arial" w:hAnsi="Arial" w:cs="Arial"/>
          <w:color w:val="000000"/>
        </w:rPr>
      </w:pPr>
      <w:r>
        <w:rPr>
          <w:rFonts w:cs="Arial" w:ascii="Arial" w:hAnsi="Arial"/>
          <w:color w:val="000000"/>
        </w:rPr>
      </w:r>
    </w:p>
    <w:p>
      <w:pPr>
        <w:pStyle w:val="Heading5"/>
        <w:ind w:hanging="0" w:start="0"/>
        <w:rPr/>
      </w:pPr>
      <w:r>
        <w:rPr/>
        <w:t>The Strategy</w:t>
      </w:r>
    </w:p>
    <w:p>
      <w:pPr>
        <w:pStyle w:val="BodyText2"/>
        <w:rPr/>
      </w:pPr>
      <w:r>
        <w:rPr/>
        <w:t xml:space="preserve">Enron currently has over 50% market share in the SO2 emissions allowance trading program.  In an effort to try and capture even more market share Enron has successfully instituted a middle marketing effort.  This is a strategy that will continue to be employed, albeit with a slightly different approach.  Enron will continue to use brokers to scrounge for deals.  The brokerage fees are extremely minimal, typically $.15/allowance.  This works out to $375 for a standard round of 2,500 allowances.  At $200 per, this works out to a .075% brokerage fee.  An additional tool, which we will employ on a more effective scale, is the coal middle marketer.  </w:t>
      </w:r>
    </w:p>
    <w:p>
      <w:pPr>
        <w:pStyle w:val="BodyText2"/>
        <w:ind w:firstLine="720" w:end="0"/>
        <w:rPr/>
      </w:pPr>
      <w:r>
        <w:rPr/>
      </w:r>
    </w:p>
    <w:p>
      <w:pPr>
        <w:pStyle w:val="BodyText2"/>
        <w:rPr/>
      </w:pPr>
      <w:r>
        <w:rPr/>
        <w:t xml:space="preserve">Beginning in August, emissions marketing has been attending and presenting at one coal-marketing meeting per month.  The initial presentation included a market assessment and background on both NOx SIP Call and SO2, potential deal structures, top 5 utility allowance positions per marketer, and current emissions status per utility.  The lengthy presentation was then broken down into a marketers index with information on rules, regulations and information specific to each marketer’s clients.  Each month, coal marketers receive updated information packets.  These are complete with position shifts, latest deal updates, regulatory and rule changes, etc.  By consistently employing the coal marketers, essentially expanding the SO2 marketing presence by a factor of 6, we are able to provide a number of benefits, including: </w:t>
      </w:r>
    </w:p>
    <w:p>
      <w:pPr>
        <w:pStyle w:val="BodyText2"/>
        <w:rPr/>
      </w:pPr>
      <w:r>
        <w:rPr/>
      </w:r>
    </w:p>
    <w:p>
      <w:pPr>
        <w:pStyle w:val="BodyText2"/>
        <w:numPr>
          <w:ilvl w:val="0"/>
          <w:numId w:val="9"/>
        </w:numPr>
        <w:rPr/>
      </w:pPr>
      <w:r>
        <w:rPr/>
        <w:t>Increased economies of scale</w:t>
      </w:r>
    </w:p>
    <w:p>
      <w:pPr>
        <w:pStyle w:val="BodyText2"/>
        <w:numPr>
          <w:ilvl w:val="0"/>
          <w:numId w:val="9"/>
        </w:numPr>
        <w:rPr/>
      </w:pPr>
      <w:r>
        <w:rPr/>
        <w:t>Utilizing long standing relationships to beat out brokers and capture allowance transactions</w:t>
      </w:r>
    </w:p>
    <w:p>
      <w:pPr>
        <w:pStyle w:val="BodyText2"/>
        <w:numPr>
          <w:ilvl w:val="0"/>
          <w:numId w:val="9"/>
        </w:numPr>
        <w:rPr/>
      </w:pPr>
      <w:r>
        <w:rPr/>
        <w:t>Constant market presence at most major utilities</w:t>
      </w:r>
    </w:p>
    <w:p>
      <w:pPr>
        <w:pStyle w:val="BodyText2"/>
        <w:numPr>
          <w:ilvl w:val="0"/>
          <w:numId w:val="9"/>
        </w:numPr>
        <w:rPr/>
      </w:pPr>
      <w:r>
        <w:rPr/>
        <w:t>Potential for increased coal deals through creative use of allowances</w:t>
      </w:r>
    </w:p>
    <w:p>
      <w:pPr>
        <w:pStyle w:val="BodyText2"/>
        <w:numPr>
          <w:ilvl w:val="0"/>
          <w:numId w:val="9"/>
        </w:numPr>
        <w:rPr/>
      </w:pPr>
      <w:r>
        <w:rPr/>
        <w:t>Increased time on higher return projects for emissions team</w:t>
      </w:r>
    </w:p>
    <w:p>
      <w:pPr>
        <w:pStyle w:val="BodyText2"/>
        <w:numPr>
          <w:ilvl w:val="0"/>
          <w:numId w:val="9"/>
        </w:numPr>
        <w:rPr/>
      </w:pPr>
      <w:r>
        <w:rPr/>
        <w:t>Others????</w:t>
      </w:r>
    </w:p>
    <w:p>
      <w:pPr>
        <w:pStyle w:val="BodyText2"/>
        <w:rPr/>
      </w:pPr>
      <w:r>
        <w:rPr/>
      </w:r>
    </w:p>
    <w:p>
      <w:pPr>
        <w:pStyle w:val="BodyText2"/>
        <w:rPr/>
      </w:pPr>
      <w:r>
        <w:rPr/>
        <w:t xml:space="preserve">The emissions team will focus on high value projects in SO2.  Examples of these include financing clean up technologies with partial payment in commodities, capital towards coal spec switching with payment in EAs and firm coal contracts, synthetic low sulfur coals and others. Other products include allowances for commodities, credits, and combination swaps.  The desk will continue to market derivatives though this will mainly occur through brokers and via specific requests.  </w:t>
      </w:r>
    </w:p>
    <w:p>
      <w:pPr>
        <w:pStyle w:val="BodyText2"/>
        <w:rPr/>
      </w:pPr>
      <w:r>
        <w:rPr/>
      </w:r>
    </w:p>
    <w:p>
      <w:pPr>
        <w:pStyle w:val="BodyText2"/>
        <w:rPr/>
      </w:pPr>
      <w:r>
        <w:rPr/>
      </w:r>
    </w:p>
    <w:p>
      <w:pPr>
        <w:pStyle w:val="Heading4"/>
        <w:ind w:hanging="0" w:start="0"/>
        <w:rPr/>
      </w:pPr>
      <w:r>
        <w:rPr/>
        <w:t xml:space="preserve">OTR NOx </w:t>
      </w:r>
    </w:p>
    <w:p>
      <w:pPr>
        <w:pStyle w:val="Heading3"/>
        <w:ind w:hanging="0" w:start="0"/>
        <w:rPr>
          <w:color w:val="000000"/>
        </w:rPr>
      </w:pPr>
      <w:r>
        <w:rPr>
          <w:color w:val="000000"/>
        </w:rPr>
        <w:t>The Market</w:t>
      </w:r>
    </w:p>
    <w:p>
      <w:pPr>
        <w:pStyle w:val="plain"/>
        <w:rPr>
          <w:sz w:val="24"/>
        </w:rPr>
      </w:pPr>
      <w:r>
        <w:rPr>
          <w:sz w:val="24"/>
        </w:rPr>
        <w:t xml:space="preserve">NOx Emission Allowances were created under regulations implemented by a coalition of northeastern state air regulators called the Ozone Transport Commission (OTC). The OTC‘s 1994 Memorandum of Understanding (MOU) controls interstate transfer of Ozone pollution in the 11 northeastern states and the District of Columbia.  Though 11 states signed the MOU, there are currently only 9 states that are actually participating in the trading program, including CT, DE, MA, MD, NH, NJ, NY, PA, and RI. By establishing a budget or “cap” of summertime (May 1 - September 30) NOx emissions for all major sources, including utility and IPP electricity generators larger than 15 MW and industrial boilers with a heat input of 250 MMBtus/hr. or greater. While regional and seasonal in scope, the regulations and marketplace are quite similar to the nationwide SO2 Emission Allowance cap and trade program. A defined and homogenous tradable instrument, the NOx Emission Allowance has been created for vintage years through 2002, with allocations for 2003 and beyond forthcoming under the EPA’s NOx SIP Call (see below). </w:t>
      </w:r>
    </w:p>
    <w:p>
      <w:pPr>
        <w:pStyle w:val="Heading3"/>
        <w:ind w:hanging="0" w:start="0"/>
        <w:rPr>
          <w:color w:val="000000"/>
        </w:rPr>
      </w:pPr>
      <w:r>
        <w:rPr>
          <w:color w:val="000000"/>
        </w:rPr>
        <w:t>Trades</w:t>
      </w:r>
    </w:p>
    <w:p>
      <w:pPr>
        <w:pStyle w:val="Normal"/>
        <w:rPr>
          <w:rFonts w:ascii="Arial" w:hAnsi="Arial" w:cs="Arial"/>
          <w:color w:val="000000"/>
        </w:rPr>
      </w:pPr>
      <w:r>
        <w:rPr>
          <w:rFonts w:cs="Arial" w:ascii="Arial" w:hAnsi="Arial"/>
          <w:color w:val="000000"/>
        </w:rPr>
      </w:r>
    </w:p>
    <w:p>
      <w:pPr>
        <w:pStyle w:val="Normal"/>
        <w:numPr>
          <w:ilvl w:val="0"/>
          <w:numId w:val="2"/>
        </w:numPr>
        <w:rPr>
          <w:rFonts w:ascii="Arial" w:hAnsi="Arial" w:cs="Arial"/>
          <w:color w:val="000000"/>
        </w:rPr>
      </w:pPr>
      <w:r>
        <w:rPr>
          <w:rFonts w:cs="Arial" w:ascii="Arial" w:hAnsi="Arial"/>
          <w:color w:val="000000"/>
        </w:rPr>
        <w:t>Typical OTC daily volume from 150  – 1,000 tons</w:t>
      </w:r>
    </w:p>
    <w:p>
      <w:pPr>
        <w:pStyle w:val="Normal"/>
        <w:numPr>
          <w:ilvl w:val="0"/>
          <w:numId w:val="2"/>
        </w:numPr>
        <w:rPr>
          <w:rFonts w:ascii="Arial" w:hAnsi="Arial" w:cs="Arial"/>
          <w:color w:val="000000"/>
        </w:rPr>
      </w:pPr>
      <w:r>
        <w:rPr>
          <w:rFonts w:cs="Arial" w:ascii="Arial" w:hAnsi="Arial"/>
          <w:color w:val="000000"/>
        </w:rPr>
        <w:t>Extremely volatile at times (from 60-100+%)</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object w:dxaOrig="7681" w:dyaOrig="4097">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width:368.25pt;height:209.25pt" filled="f" o:ole="">
            <v:imagedata r:id="rId6" o:title=""/>
          </v:shape>
          <o:OLEObject Type="Embed" ProgID="Excel.Sheet.12" ShapeID="ole_rId5" DrawAspect="Content" ObjectID="_1894425872" r:id="rId5"/>
        </w:objec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numPr>
          <w:ilvl w:val="0"/>
          <w:numId w:val="2"/>
        </w:numPr>
        <w:rPr>
          <w:rFonts w:ascii="Arial" w:hAnsi="Arial" w:cs="Arial"/>
          <w:color w:val="000000"/>
        </w:rPr>
      </w:pPr>
      <w:r>
        <w:rPr>
          <w:rFonts w:cs="Arial" w:ascii="Arial" w:hAnsi="Arial"/>
          <w:color w:val="000000"/>
        </w:rPr>
        <w:t>171,000 tons transferred from 9/98 to 3/01</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sz w:val="20"/>
          <w:lang w:val="en-CA" w:eastAsia="en-CA"/>
        </w:rPr>
      </w:pPr>
      <w:r>
        <w:rPr>
          <w:rFonts w:cs="Arial" w:ascii="Arial" w:hAnsi="Arial"/>
          <w:color w:val="000000"/>
          <w:sz w:val="20"/>
          <w:lang w:val="en-CA" w:eastAsia="en-CA"/>
        </w:rPr>
        <w:drawing>
          <wp:anchor behindDoc="0" distT="0" distB="0" distL="114935" distR="114935" simplePos="0" locked="0" layoutInCell="1" allowOverlap="1" relativeHeight="6">
            <wp:simplePos x="0" y="0"/>
            <wp:positionH relativeFrom="column">
              <wp:posOffset>457200</wp:posOffset>
            </wp:positionH>
            <wp:positionV relativeFrom="paragraph">
              <wp:posOffset>-55880</wp:posOffset>
            </wp:positionV>
            <wp:extent cx="4848225" cy="2895600"/>
            <wp:effectExtent l="0" t="0" r="0" b="0"/>
            <wp:wrapNone/>
            <wp:docPr id="2" name="slid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de2" descr="" title=""/>
                    <pic:cNvPicPr>
                      <a:picLocks noChangeAspect="1" noChangeArrowheads="1"/>
                    </pic:cNvPicPr>
                  </pic:nvPicPr>
                  <pic:blipFill>
                    <a:blip r:embed="rId7"/>
                    <a:srcRect l="-8" t="-11" r="-8" b="-11"/>
                    <a:stretch>
                      <a:fillRect/>
                    </a:stretch>
                  </pic:blipFill>
                  <pic:spPr bwMode="auto">
                    <a:xfrm>
                      <a:off x="0" y="0"/>
                      <a:ext cx="4848225" cy="2895600"/>
                    </a:xfrm>
                    <a:prstGeom prst="rect">
                      <a:avLst/>
                    </a:prstGeom>
                    <a:noFill/>
                  </pic:spPr>
                </pic:pic>
              </a:graphicData>
            </a:graphic>
          </wp:anchor>
        </w:drawing>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Heading3"/>
        <w:ind w:hanging="0" w:start="0"/>
        <w:rPr>
          <w:rFonts w:ascii="Arial" w:hAnsi="Arial" w:cs="Arial"/>
          <w:color w:val="000000"/>
        </w:rPr>
      </w:pPr>
      <w:r>
        <w:rPr>
          <w:rFonts w:cs="Arial"/>
          <w:color w:val="000000"/>
        </w:rPr>
      </w:r>
    </w:p>
    <w:p>
      <w:pPr>
        <w:pStyle w:val="Heading3"/>
        <w:ind w:hanging="0" w:start="0"/>
        <w:rPr>
          <w:color w:val="000000"/>
        </w:rPr>
      </w:pPr>
      <w:r>
        <w:rPr>
          <w:color w:val="000000"/>
        </w:rPr>
      </w:r>
    </w:p>
    <w:p>
      <w:pPr>
        <w:pStyle w:val="Normal"/>
        <w:rPr>
          <w:color w:val="000000"/>
        </w:rPr>
      </w:pPr>
      <w:r>
        <w:rPr>
          <w:color w:val="000000"/>
        </w:rPr>
      </w:r>
    </w:p>
    <w:p>
      <w:pPr>
        <w:pStyle w:val="Normal"/>
        <w:rPr/>
      </w:pPr>
      <w:r>
        <w:rPr/>
      </w:r>
    </w:p>
    <w:p>
      <w:pPr>
        <w:pStyle w:val="Normal"/>
        <w:rPr/>
      </w:pPr>
      <w:r>
        <w:rPr/>
      </w:r>
    </w:p>
    <w:p>
      <w:pPr>
        <w:pStyle w:val="Normal"/>
        <w:rPr/>
      </w:pPr>
      <w:r>
        <w:rPr/>
        <w:drawing>
          <wp:inline distT="0" distB="0" distL="0" distR="0">
            <wp:extent cx="4762500" cy="2657475"/>
            <wp:effectExtent l="0" t="0" r="0" b="0"/>
            <wp:docPr id="3" name="slid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de3" descr="" title=""/>
                    <pic:cNvPicPr>
                      <a:picLocks noChangeAspect="1" noChangeArrowheads="1"/>
                    </pic:cNvPicPr>
                  </pic:nvPicPr>
                  <pic:blipFill>
                    <a:blip r:embed="rId8"/>
                    <a:srcRect l="-8" t="-14" r="-8" b="-14"/>
                    <a:stretch>
                      <a:fillRect/>
                    </a:stretch>
                  </pic:blipFill>
                  <pic:spPr bwMode="auto">
                    <a:xfrm>
                      <a:off x="0" y="0"/>
                      <a:ext cx="4762500" cy="2657475"/>
                    </a:xfrm>
                    <a:prstGeom prst="rect">
                      <a:avLst/>
                    </a:prstGeom>
                    <a:noFill/>
                  </pic:spPr>
                </pic:pic>
              </a:graphicData>
            </a:graphic>
          </wp:inline>
        </w:drawing>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3"/>
        <w:ind w:hanging="0" w:start="0"/>
        <w:rPr>
          <w:color w:val="000000"/>
        </w:rPr>
      </w:pPr>
      <w:r>
        <w:rPr>
          <w:color w:val="000000"/>
        </w:rPr>
        <w:t xml:space="preserve">Transaction Types  </w:t>
      </w:r>
    </w:p>
    <w:p>
      <w:pPr>
        <w:pStyle w:val="Normal"/>
        <w:rPr>
          <w:rFonts w:ascii="Arial" w:hAnsi="Arial" w:cs="Arial"/>
          <w:color w:val="000000"/>
        </w:rPr>
      </w:pPr>
      <w:r>
        <w:rPr>
          <w:rFonts w:cs="Arial" w:ascii="Arial" w:hAnsi="Arial"/>
          <w:color w:val="000000"/>
        </w:rPr>
      </w:r>
    </w:p>
    <w:p>
      <w:pPr>
        <w:pStyle w:val="Normal"/>
        <w:numPr>
          <w:ilvl w:val="0"/>
          <w:numId w:val="7"/>
        </w:numPr>
        <w:rPr>
          <w:rFonts w:ascii="Arial" w:hAnsi="Arial" w:cs="Arial"/>
          <w:color w:val="000000"/>
          <w:szCs w:val="18"/>
        </w:rPr>
      </w:pPr>
      <w:r>
        <w:rPr>
          <w:rFonts w:cs="Arial" w:ascii="Arial" w:hAnsi="Arial"/>
          <w:color w:val="000000"/>
          <w:szCs w:val="18"/>
        </w:rPr>
        <w:t>Immediate Settlement Transactions</w:t>
      </w:r>
    </w:p>
    <w:p>
      <w:pPr>
        <w:pStyle w:val="Normal"/>
        <w:numPr>
          <w:ilvl w:val="0"/>
          <w:numId w:val="7"/>
        </w:numPr>
        <w:rPr>
          <w:rFonts w:ascii="Arial" w:hAnsi="Arial" w:cs="Arial"/>
          <w:color w:val="000000"/>
          <w:szCs w:val="18"/>
        </w:rPr>
      </w:pPr>
      <w:r>
        <w:rPr>
          <w:rFonts w:cs="Arial" w:ascii="Arial" w:hAnsi="Arial"/>
          <w:color w:val="000000"/>
          <w:szCs w:val="18"/>
        </w:rPr>
        <w:t xml:space="preserve">Forward Transactions </w:t>
      </w:r>
    </w:p>
    <w:p>
      <w:pPr>
        <w:pStyle w:val="Normal"/>
        <w:numPr>
          <w:ilvl w:val="0"/>
          <w:numId w:val="7"/>
        </w:numPr>
        <w:rPr>
          <w:rFonts w:ascii="Arial" w:hAnsi="Arial" w:cs="Arial"/>
          <w:color w:val="000000"/>
          <w:szCs w:val="18"/>
        </w:rPr>
      </w:pPr>
      <w:r>
        <w:rPr>
          <w:rFonts w:cs="Arial" w:ascii="Arial" w:hAnsi="Arial"/>
          <w:color w:val="000000"/>
          <w:szCs w:val="18"/>
        </w:rPr>
        <w:t xml:space="preserve">Cross-commodity or Inter-pollutant Swaps </w:t>
      </w:r>
    </w:p>
    <w:p>
      <w:pPr>
        <w:pStyle w:val="Normal"/>
        <w:numPr>
          <w:ilvl w:val="0"/>
          <w:numId w:val="7"/>
        </w:numPr>
        <w:rPr>
          <w:rFonts w:ascii="Arial" w:hAnsi="Arial" w:cs="Arial"/>
          <w:color w:val="000000"/>
          <w:szCs w:val="18"/>
        </w:rPr>
      </w:pPr>
      <w:r>
        <w:rPr>
          <w:rFonts w:cs="Arial" w:ascii="Arial" w:hAnsi="Arial"/>
          <w:color w:val="000000"/>
          <w:szCs w:val="18"/>
        </w:rPr>
        <w:t>Vintage Swaps</w:t>
      </w:r>
    </w:p>
    <w:p>
      <w:pPr>
        <w:pStyle w:val="Normal"/>
        <w:numPr>
          <w:ilvl w:val="0"/>
          <w:numId w:val="7"/>
        </w:numPr>
        <w:rPr>
          <w:rFonts w:ascii="Arial" w:hAnsi="Arial" w:cs="Arial"/>
          <w:color w:val="000000"/>
          <w:szCs w:val="18"/>
        </w:rPr>
      </w:pPr>
      <w:r>
        <w:rPr>
          <w:rFonts w:cs="Arial" w:ascii="Arial" w:hAnsi="Arial"/>
          <w:color w:val="000000"/>
          <w:szCs w:val="18"/>
        </w:rPr>
        <w:t>Option Transactions</w:t>
      </w:r>
    </w:p>
    <w:p>
      <w:pPr>
        <w:pStyle w:val="Normal"/>
        <w:numPr>
          <w:ilvl w:val="0"/>
          <w:numId w:val="7"/>
        </w:numPr>
        <w:rPr>
          <w:rFonts w:ascii="Arial" w:hAnsi="Arial" w:cs="Arial"/>
          <w:b/>
          <w:bCs/>
          <w:color w:val="000000"/>
          <w:szCs w:val="18"/>
        </w:rPr>
      </w:pPr>
      <w:r>
        <w:rPr>
          <w:rFonts w:cs="Arial" w:ascii="Arial" w:hAnsi="Arial"/>
          <w:color w:val="000000"/>
          <w:szCs w:val="18"/>
        </w:rPr>
        <w:t>Stream Transactions</w:t>
      </w:r>
    </w:p>
    <w:p>
      <w:pPr>
        <w:pStyle w:val="Normal"/>
        <w:rPr>
          <w:rFonts w:ascii="Arial" w:hAnsi="Arial" w:cs="Arial"/>
          <w:b/>
          <w:bCs/>
          <w:color w:val="000000"/>
          <w:szCs w:val="18"/>
        </w:rPr>
      </w:pPr>
      <w:r>
        <w:rPr>
          <w:rFonts w:cs="Arial" w:ascii="Arial" w:hAnsi="Arial"/>
          <w:b/>
          <w:bCs/>
          <w:color w:val="000000"/>
          <w:szCs w:val="18"/>
        </w:rPr>
      </w:r>
    </w:p>
    <w:p>
      <w:pPr>
        <w:pStyle w:val="Heading5"/>
        <w:ind w:hanging="0" w:start="0"/>
        <w:rPr/>
      </w:pPr>
      <w:r>
        <w:rPr/>
        <w:t>The Strategy</w:t>
      </w:r>
    </w:p>
    <w:p>
      <w:pPr>
        <w:pStyle w:val="Normal"/>
        <w:rPr>
          <w:rFonts w:ascii="Arial" w:hAnsi="Arial" w:cs="Arial"/>
          <w:color w:val="000000"/>
        </w:rPr>
      </w:pPr>
      <w:r>
        <w:rPr>
          <w:rFonts w:cs="Arial" w:ascii="Arial" w:hAnsi="Arial"/>
          <w:color w:val="000000"/>
        </w:rPr>
      </w:r>
    </w:p>
    <w:p>
      <w:pPr>
        <w:pStyle w:val="Normal"/>
        <w:rPr/>
      </w:pPr>
      <w:r>
        <w:rPr>
          <w:rFonts w:cs="Arial" w:ascii="Arial" w:hAnsi="Arial"/>
          <w:color w:val="000000"/>
        </w:rPr>
        <w:t>Enron has not been a major player in this market due to the minimal money making opportunities and program termination looming.  There is a mechanism for distributing ?</w:t>
      </w:r>
      <w:r>
        <w:rPr>
          <w:rFonts w:cs="Arial" w:ascii="Arial" w:hAnsi="Arial"/>
          <w:color w:val="000000"/>
          <w:highlight w:val="yellow"/>
        </w:rPr>
        <w:t>10,000</w:t>
      </w:r>
      <w:r>
        <w:rPr>
          <w:rFonts w:cs="Arial" w:ascii="Arial" w:hAnsi="Arial"/>
          <w:color w:val="000000"/>
        </w:rPr>
        <w:t xml:space="preserve"> allowances into the NOx SIP Call. However, the mechanism has not been determined leading to purchase uncertainty.  Due to the uncertainty Enron is currently buying immediate settlement NOx SIP call allowances only.   </w:t>
      </w:r>
    </w:p>
    <w:p>
      <w:pPr>
        <w:pStyle w:val="Heading4"/>
        <w:ind w:hanging="0" w:start="0"/>
        <w:rPr>
          <w:rFonts w:ascii="Arial" w:hAnsi="Arial" w:cs="Arial"/>
          <w:color w:val="000000"/>
        </w:rPr>
      </w:pPr>
      <w:r>
        <w:rPr>
          <w:rFonts w:cs="Arial"/>
          <w:color w:val="000000"/>
        </w:rPr>
      </w:r>
    </w:p>
    <w:p>
      <w:pPr>
        <w:pStyle w:val="Heading4"/>
        <w:ind w:hanging="0" w:start="0"/>
        <w:rPr/>
      </w:pPr>
      <w:r>
        <w:rPr/>
        <w:t>NOx SIP Call</w:t>
      </w:r>
    </w:p>
    <w:p>
      <w:pPr>
        <w:pStyle w:val="Heading1"/>
        <w:ind w:hanging="0" w:start="0"/>
        <w:rPr>
          <w:color w:val="000000"/>
        </w:rPr>
      </w:pPr>
      <w:r>
        <w:rPr>
          <w:color w:val="000000"/>
        </w:rPr>
        <w:t xml:space="preserve">The Market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NOx trading programs are expected to expand considerably beginning in 2003/2004.  This is in response to the EPA’s call for State Implementation Plans (SIPs) to reduce the transport of ozone pollution over broader geographic regions of the country or to address Section 126 petitions under the Clean Air Act Amendments filed by several northeastern States to achieve the same objective. NOx emission reductions created by major sources in the Midwestern, Southeastern and Northeastern states over a projected 22 state region are expected to qualify as excess and tradable under these proposed EPA programs. The states that are currently affected under the program are: AL, CT, DE, GA, IL, IN, KY, MA, MD, MI, MO, NC, NJ, NY, OH, PA, RI, SC, TN, VA, WV and DC. The proposed trading programs involve the creation and implementation of seasonal state budgets and the allocation of NOx emission allowances to affected sources.</w:t>
      </w:r>
    </w:p>
    <w:p>
      <w:pPr>
        <w:pStyle w:val="Normal"/>
        <w:rPr>
          <w:rFonts w:ascii="Arial" w:hAnsi="Arial" w:cs="Arial"/>
          <w:color w:val="000000"/>
        </w:rPr>
      </w:pPr>
      <w:r>
        <w:rPr>
          <w:rFonts w:cs="Arial" w:ascii="Arial" w:hAnsi="Arial"/>
          <w:color w:val="000000"/>
        </w:rPr>
      </w:r>
    </w:p>
    <w:p>
      <w:pPr>
        <w:pStyle w:val="Heading1"/>
        <w:ind w:hanging="0" w:start="0"/>
        <w:rPr>
          <w:color w:val="000000"/>
        </w:rPr>
      </w:pPr>
      <w:r>
        <w:rPr>
          <w:color w:val="000000"/>
        </w:rPr>
        <w:t>Trades</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As of October 5, 2001, 4,325 tons worth $20,780,000 have traded between July 2001 and September 2001.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Enron has been involved in approximately 6% of the total traded tons.  </w:t>
      </w:r>
    </w:p>
    <w:p>
      <w:pPr>
        <w:pStyle w:val="Normal"/>
        <w:rPr>
          <w:rFonts w:ascii="Arial" w:hAnsi="Arial" w:cs="Arial"/>
          <w:color w:val="000000"/>
        </w:rPr>
      </w:pPr>
      <w:r>
        <w:rPr>
          <w:rFonts w:cs="Arial" w:ascii="Arial" w:hAnsi="Arial"/>
          <w:color w:val="000000"/>
        </w:rPr>
      </w:r>
    </w:p>
    <w:p>
      <w:pPr>
        <w:pStyle w:val="Heading1"/>
        <w:ind w:hanging="0" w:start="0"/>
        <w:rPr>
          <w:color w:val="000000"/>
        </w:rPr>
      </w:pPr>
      <w:r>
        <w:rPr>
          <w:color w:val="000000"/>
        </w:rPr>
        <w:t>Transaction Types</w:t>
      </w:r>
    </w:p>
    <w:p>
      <w:pPr>
        <w:pStyle w:val="Normal"/>
        <w:rPr>
          <w:rFonts w:ascii="Arial" w:hAnsi="Arial" w:cs="Arial"/>
          <w:b/>
          <w:bCs/>
          <w:color w:val="000000"/>
          <w:szCs w:val="18"/>
        </w:rPr>
      </w:pPr>
      <w:r>
        <w:rPr>
          <w:rFonts w:cs="Arial" w:ascii="Arial" w:hAnsi="Arial"/>
          <w:b/>
          <w:bCs/>
          <w:color w:val="000000"/>
          <w:szCs w:val="18"/>
        </w:rPr>
      </w:r>
    </w:p>
    <w:p>
      <w:pPr>
        <w:pStyle w:val="Normal"/>
        <w:numPr>
          <w:ilvl w:val="0"/>
          <w:numId w:val="7"/>
        </w:numPr>
        <w:rPr>
          <w:rFonts w:ascii="Arial" w:hAnsi="Arial" w:cs="Arial"/>
          <w:color w:val="000000"/>
          <w:szCs w:val="18"/>
        </w:rPr>
      </w:pPr>
      <w:r>
        <w:rPr>
          <w:rFonts w:cs="Arial" w:ascii="Arial" w:hAnsi="Arial"/>
          <w:color w:val="000000"/>
          <w:szCs w:val="18"/>
        </w:rPr>
        <w:t>Immediate Settlement Transactions</w:t>
      </w:r>
    </w:p>
    <w:p>
      <w:pPr>
        <w:pStyle w:val="Normal"/>
        <w:numPr>
          <w:ilvl w:val="0"/>
          <w:numId w:val="7"/>
        </w:numPr>
        <w:rPr>
          <w:rFonts w:ascii="Arial" w:hAnsi="Arial" w:cs="Arial"/>
          <w:color w:val="000000"/>
          <w:szCs w:val="18"/>
        </w:rPr>
      </w:pPr>
      <w:r>
        <w:rPr>
          <w:rFonts w:cs="Arial" w:ascii="Arial" w:hAnsi="Arial"/>
          <w:color w:val="000000"/>
          <w:szCs w:val="18"/>
        </w:rPr>
        <w:t xml:space="preserve">Forward Transactions </w:t>
      </w:r>
    </w:p>
    <w:p>
      <w:pPr>
        <w:pStyle w:val="Normal"/>
        <w:numPr>
          <w:ilvl w:val="0"/>
          <w:numId w:val="7"/>
        </w:numPr>
        <w:rPr>
          <w:rFonts w:ascii="Arial" w:hAnsi="Arial" w:cs="Arial"/>
          <w:color w:val="000000"/>
          <w:szCs w:val="18"/>
        </w:rPr>
      </w:pPr>
      <w:r>
        <w:rPr>
          <w:rFonts w:cs="Arial" w:ascii="Arial" w:hAnsi="Arial"/>
          <w:color w:val="000000"/>
          <w:szCs w:val="18"/>
        </w:rPr>
        <w:t xml:space="preserve">Cross-commodity or Inter-pollutant Swaps </w:t>
      </w:r>
    </w:p>
    <w:p>
      <w:pPr>
        <w:pStyle w:val="Normal"/>
        <w:numPr>
          <w:ilvl w:val="0"/>
          <w:numId w:val="7"/>
        </w:numPr>
        <w:rPr>
          <w:rFonts w:ascii="Arial" w:hAnsi="Arial" w:cs="Arial"/>
          <w:color w:val="000000"/>
          <w:szCs w:val="18"/>
        </w:rPr>
      </w:pPr>
      <w:r>
        <w:rPr>
          <w:rFonts w:cs="Arial" w:ascii="Arial" w:hAnsi="Arial"/>
          <w:color w:val="000000"/>
          <w:szCs w:val="18"/>
        </w:rPr>
        <w:t>Vintage Swaps</w:t>
      </w:r>
    </w:p>
    <w:p>
      <w:pPr>
        <w:pStyle w:val="Normal"/>
        <w:numPr>
          <w:ilvl w:val="0"/>
          <w:numId w:val="7"/>
        </w:numPr>
        <w:rPr>
          <w:rFonts w:ascii="Arial" w:hAnsi="Arial" w:cs="Arial"/>
          <w:color w:val="000000"/>
          <w:szCs w:val="18"/>
        </w:rPr>
      </w:pPr>
      <w:r>
        <w:rPr>
          <w:rFonts w:cs="Arial" w:ascii="Arial" w:hAnsi="Arial"/>
          <w:color w:val="000000"/>
          <w:szCs w:val="18"/>
        </w:rPr>
        <w:t>Option Transactions</w:t>
      </w:r>
    </w:p>
    <w:p>
      <w:pPr>
        <w:pStyle w:val="Normal"/>
        <w:numPr>
          <w:ilvl w:val="0"/>
          <w:numId w:val="7"/>
        </w:numPr>
        <w:rPr>
          <w:rFonts w:ascii="Arial" w:hAnsi="Arial" w:cs="Arial"/>
          <w:b/>
          <w:bCs/>
          <w:color w:val="000000"/>
          <w:szCs w:val="18"/>
        </w:rPr>
      </w:pPr>
      <w:r>
        <w:rPr>
          <w:rFonts w:cs="Arial" w:ascii="Arial" w:hAnsi="Arial"/>
          <w:color w:val="000000"/>
          <w:szCs w:val="18"/>
        </w:rPr>
        <w:t>Stream Transactions</w:t>
      </w:r>
    </w:p>
    <w:p>
      <w:pPr>
        <w:pStyle w:val="Normal"/>
        <w:rPr>
          <w:rFonts w:ascii="Arial" w:hAnsi="Arial" w:cs="Arial"/>
          <w:b/>
          <w:bCs/>
          <w:color w:val="000000"/>
          <w:szCs w:val="18"/>
        </w:rPr>
      </w:pPr>
      <w:r>
        <w:rPr>
          <w:rFonts w:cs="Arial" w:ascii="Arial" w:hAnsi="Arial"/>
          <w:b/>
          <w:bCs/>
          <w:color w:val="000000"/>
          <w:szCs w:val="18"/>
        </w:rPr>
      </w:r>
    </w:p>
    <w:p>
      <w:pPr>
        <w:pStyle w:val="Normal"/>
        <w:numPr>
          <w:ilvl w:val="2"/>
          <w:numId w:val="5"/>
        </w:numPr>
        <w:rPr>
          <w:rFonts w:ascii="Arial" w:hAnsi="Arial" w:cs="Arial"/>
          <w:color w:val="000000"/>
        </w:rPr>
      </w:pPr>
      <w:r>
        <w:rPr>
          <w:rFonts w:cs="Arial" w:ascii="Arial" w:hAnsi="Arial"/>
          <w:color w:val="000000"/>
        </w:rPr>
        <w:t>Regional Cap and Trades</w:t>
      </w:r>
    </w:p>
    <w:p>
      <w:pPr>
        <w:pStyle w:val="Normal"/>
        <w:numPr>
          <w:ilvl w:val="3"/>
          <w:numId w:val="5"/>
        </w:numPr>
        <w:rPr>
          <w:rFonts w:ascii="Arial" w:hAnsi="Arial" w:cs="Arial"/>
          <w:color w:val="000000"/>
        </w:rPr>
      </w:pPr>
      <w:r>
        <w:rPr>
          <w:rFonts w:cs="Arial" w:ascii="Arial" w:hAnsi="Arial"/>
          <w:color w:val="000000"/>
        </w:rPr>
        <w:t>HGA</w:t>
      </w:r>
    </w:p>
    <w:p>
      <w:pPr>
        <w:pStyle w:val="Normal"/>
        <w:numPr>
          <w:ilvl w:val="3"/>
          <w:numId w:val="5"/>
        </w:numPr>
        <w:rPr>
          <w:rFonts w:ascii="Arial" w:hAnsi="Arial" w:cs="Arial"/>
          <w:color w:val="000000"/>
        </w:rPr>
      </w:pPr>
      <w:r>
        <w:rPr>
          <w:rFonts w:cs="Arial" w:ascii="Arial" w:hAnsi="Arial"/>
          <w:color w:val="000000"/>
        </w:rPr>
        <w:t>Others?</w:t>
      </w:r>
    </w:p>
    <w:p>
      <w:pPr>
        <w:pStyle w:val="Heading5"/>
        <w:ind w:hanging="0" w:start="0"/>
        <w:rPr/>
      </w:pPr>
      <w:r>
        <w:rPr/>
        <w:t>The Strategy</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The NOx SIP Call Region will be a major focus for Enron Emissions Services.  Every major, high emission producing utility is in the program and they have major capital commitments to get into compliance.  We will employ different strategies towards gaining market share with the major utilites and the IPPs, Municipalities and large industrials.  </w:t>
      </w:r>
    </w:p>
    <w:p>
      <w:pPr>
        <w:pStyle w:val="Normal"/>
        <w:rPr>
          <w:rFonts w:ascii="Arial" w:hAnsi="Arial" w:cs="Arial"/>
          <w:color w:val="000000"/>
        </w:rPr>
      </w:pPr>
      <w:r>
        <w:rPr>
          <w:rFonts w:cs="Arial" w:ascii="Arial" w:hAnsi="Arial"/>
          <w:color w:val="000000"/>
        </w:rPr>
      </w:r>
    </w:p>
    <w:p>
      <w:pPr>
        <w:pStyle w:val="Heading1"/>
        <w:ind w:hanging="0" w:start="0"/>
        <w:rPr/>
      </w:pPr>
      <w:r>
        <w:rPr/>
        <w:t>NOx SIP Call Model</w:t>
      </w:r>
    </w:p>
    <w:p>
      <w:pPr>
        <w:pStyle w:val="Normal"/>
        <w:rPr>
          <w:rFonts w:ascii="Arial" w:hAnsi="Arial" w:cs="Arial"/>
        </w:rPr>
      </w:pPr>
      <w:r>
        <w:rPr>
          <w:rFonts w:cs="Arial" w:ascii="Arial" w:hAnsi="Arial"/>
        </w:rPr>
      </w:r>
    </w:p>
    <w:p>
      <w:pPr>
        <w:pStyle w:val="Normal"/>
        <w:rPr>
          <w:rFonts w:ascii="Arial" w:hAnsi="Arial" w:cs="Arial"/>
          <w:color w:val="000000"/>
        </w:rPr>
      </w:pPr>
      <w:r>
        <w:rPr>
          <w:rFonts w:cs="Arial" w:ascii="Arial" w:hAnsi="Arial"/>
          <w:color w:val="000000"/>
          <w:szCs w:val="32"/>
        </w:rPr>
        <w:t>The objective of the model is to predict the compliance strategies of the holding companies affected by the NOx SIP CALL.  The model allocates control technologies (Selective Catalytic Reductions and Low Nox Burners) in the most efficient and economical fashion.  The model also predicts the supply and demand of the market and assigns a price for the allowances.</w:t>
      </w:r>
      <w:r>
        <w:rPr>
          <w:color w:val="000000"/>
          <w:sz w:val="32"/>
          <w:szCs w:val="32"/>
        </w:rPr>
        <w:t xml:space="preserve">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Heading1"/>
        <w:ind w:hanging="0" w:start="0"/>
        <w:rPr>
          <w:b/>
          <w:bCs/>
          <w:color w:val="000000"/>
          <w:u w:val="none"/>
        </w:rPr>
      </w:pPr>
      <w:r>
        <w:rPr>
          <w:b/>
          <w:bCs/>
          <w:color w:val="000000"/>
          <w:u w:val="none"/>
        </w:rPr>
        <w:t>Non-Attainment Regions</w:t>
      </w:r>
    </w:p>
    <w:p>
      <w:pPr>
        <w:pStyle w:val="Heading1"/>
        <w:ind w:hanging="0" w:start="0"/>
        <w:rPr>
          <w:color w:val="000000"/>
        </w:rPr>
      </w:pPr>
      <w:r>
        <w:rPr>
          <w:color w:val="000000"/>
        </w:rPr>
        <w:t xml:space="preserve">The Market- </w:t>
      </w:r>
      <w:r>
        <w:rPr>
          <w:i/>
          <w:iCs/>
          <w:color w:val="000000"/>
        </w:rPr>
        <w:t>ERCs</w:t>
      </w:r>
    </w:p>
    <w:p>
      <w:pPr>
        <w:pStyle w:val="Normal"/>
        <w:rPr>
          <w:rFonts w:ascii="Arial" w:hAnsi="Arial" w:cs="Arial"/>
          <w:color w:val="000000"/>
        </w:rPr>
      </w:pPr>
      <w:r>
        <w:rPr>
          <w:rFonts w:cs="Arial" w:ascii="Arial" w:hAnsi="Arial"/>
          <w:color w:val="000000"/>
        </w:rPr>
      </w:r>
    </w:p>
    <w:p>
      <w:pPr>
        <w:pStyle w:val="Normal"/>
        <w:rPr>
          <w:rFonts w:ascii="Arial" w:hAnsi="Arial" w:eastAsia="Arial Unicode MS" w:cs="Arial"/>
          <w:szCs w:val="26"/>
        </w:rPr>
      </w:pPr>
      <w:r>
        <w:rPr>
          <w:rFonts w:cs="Arial" w:ascii="Arial" w:hAnsi="Arial"/>
          <w:color w:val="000000"/>
        </w:rPr>
        <w:t xml:space="preserve">Emission Reduction Credits (ERCs) are required for new major emission sources, or sources undergoing major expansions, by various state air agencies in regions that do not meet the EPA’s national ambient air quality standards (NAAQS). Offsets are available for a variety of pollutants, including nitrogen oxides (NOx), volatile organic compounds (VOC), carbon monoxide (CO), particulate matter (PM) and reactive organic gases (ROG). ERCs are a major concern for developers of new electric generation facilities or major industrial plant developers such as steel mills, chemical refineries, paper plants, arc furnaces, etc.  </w:t>
      </w:r>
      <w:r>
        <w:rPr>
          <w:rFonts w:cs="Arial" w:ascii="Arial" w:hAnsi="Arial"/>
          <w:szCs w:val="26"/>
        </w:rPr>
        <w:t xml:space="preserve">ERCs are generated from reductions beyond those required and must be:  </w:t>
      </w:r>
    </w:p>
    <w:p>
      <w:pPr>
        <w:sectPr>
          <w:type w:val="nextPage"/>
          <w:pgSz w:w="12240" w:h="15840"/>
          <w:pgMar w:left="1800" w:right="1800" w:gutter="0" w:header="0" w:top="1440" w:footer="0" w:bottom="1440"/>
          <w:pgNumType w:fmt="decimal"/>
          <w:formProt w:val="false"/>
          <w:textDirection w:val="lrTb"/>
          <w:docGrid w:type="default" w:linePitch="360" w:charSpace="0"/>
        </w:sectPr>
      </w:pPr>
    </w:p>
    <w:p>
      <w:pPr>
        <w:pStyle w:val="Normal"/>
        <w:ind w:start="720" w:end="0"/>
        <w:rPr>
          <w:rFonts w:ascii="Arial" w:hAnsi="Arial" w:cs="Arial"/>
          <w:szCs w:val="22"/>
        </w:rPr>
      </w:pPr>
      <w:r>
        <w:rPr>
          <w:rFonts w:cs="Arial" w:ascii="Arial" w:hAnsi="Arial"/>
          <w:szCs w:val="22"/>
        </w:rPr>
        <w:t>–</w:t>
      </w:r>
      <w:r>
        <w:rPr>
          <w:rFonts w:cs="Arial" w:ascii="Arial" w:hAnsi="Arial"/>
          <w:szCs w:val="22"/>
        </w:rPr>
        <w:t>Enforceable</w:t>
      </w:r>
    </w:p>
    <w:p>
      <w:pPr>
        <w:pStyle w:val="Normal"/>
        <w:ind w:start="720" w:end="0"/>
        <w:rPr>
          <w:rFonts w:ascii="Arial" w:hAnsi="Arial" w:cs="Arial"/>
          <w:szCs w:val="22"/>
        </w:rPr>
      </w:pPr>
      <w:r>
        <w:rPr>
          <w:rFonts w:cs="Arial" w:ascii="Arial" w:hAnsi="Arial"/>
          <w:szCs w:val="22"/>
        </w:rPr>
        <w:t>–</w:t>
      </w:r>
      <w:r>
        <w:rPr>
          <w:rFonts w:cs="Arial" w:ascii="Arial" w:hAnsi="Arial"/>
          <w:szCs w:val="22"/>
        </w:rPr>
        <w:t>Permanent</w:t>
      </w:r>
    </w:p>
    <w:p>
      <w:pPr>
        <w:pStyle w:val="Normal"/>
        <w:ind w:start="720" w:end="0"/>
        <w:rPr>
          <w:rFonts w:ascii="Arial" w:hAnsi="Arial" w:cs="Arial"/>
          <w:szCs w:val="22"/>
        </w:rPr>
      </w:pPr>
      <w:r>
        <w:rPr>
          <w:rFonts w:cs="Arial" w:ascii="Arial" w:hAnsi="Arial"/>
          <w:szCs w:val="22"/>
        </w:rPr>
        <w:t>–</w:t>
      </w:r>
      <w:r>
        <w:rPr>
          <w:rFonts w:cs="Arial" w:ascii="Arial" w:hAnsi="Arial"/>
          <w:szCs w:val="22"/>
        </w:rPr>
        <w:t xml:space="preserve">Quantifiable </w:t>
      </w:r>
    </w:p>
    <w:p>
      <w:pPr>
        <w:pStyle w:val="Normal"/>
        <w:ind w:start="720" w:end="0"/>
        <w:rPr>
          <w:rFonts w:ascii="Arial" w:hAnsi="Arial" w:cs="Arial"/>
          <w:szCs w:val="22"/>
        </w:rPr>
      </w:pPr>
      <w:r>
        <w:rPr>
          <w:rFonts w:cs="Arial" w:ascii="Arial" w:hAnsi="Arial"/>
          <w:szCs w:val="22"/>
        </w:rPr>
        <w:t>–</w:t>
      </w:r>
      <w:r>
        <w:rPr>
          <w:rFonts w:cs="Arial" w:ascii="Arial" w:hAnsi="Arial"/>
          <w:szCs w:val="22"/>
        </w:rPr>
        <w:t xml:space="preserve">Real  </w:t>
      </w:r>
    </w:p>
    <w:p>
      <w:pPr>
        <w:pStyle w:val="Normal"/>
        <w:ind w:start="720" w:end="0"/>
        <w:rPr>
          <w:rFonts w:ascii="Arial" w:hAnsi="Arial" w:cs="Arial"/>
          <w:szCs w:val="22"/>
        </w:rPr>
      </w:pPr>
      <w:r>
        <w:rPr>
          <w:rFonts w:cs="Arial" w:ascii="Arial" w:hAnsi="Arial"/>
          <w:szCs w:val="22"/>
        </w:rPr>
        <w:t>–</w:t>
      </w:r>
      <w:r>
        <w:rPr>
          <w:rFonts w:cs="Arial" w:ascii="Arial" w:hAnsi="Arial"/>
          <w:szCs w:val="22"/>
        </w:rPr>
        <w:t>Surplus</w:t>
      </w:r>
    </w:p>
    <w:p>
      <w:pPr>
        <w:sectPr>
          <w:type w:val="continuous"/>
          <w:pgSz w:w="12240" w:h="15840"/>
          <w:pgMar w:left="1800" w:right="1800" w:gutter="0" w:header="0" w:top="1440" w:footer="0" w:bottom="1440"/>
          <w:cols w:num="2" w:space="720" w:equalWidth="true" w:sep="false"/>
          <w:formProt w:val="false"/>
          <w:textDirection w:val="lrTb"/>
          <w:docGrid w:type="default" w:linePitch="360" w:charSpace="0"/>
        </w:sectPr>
      </w:pPr>
    </w:p>
    <w:p>
      <w:pPr>
        <w:pStyle w:val="Normal"/>
        <w:rPr>
          <w:rFonts w:ascii="Arial" w:hAnsi="Arial" w:cs="Arial"/>
          <w:vanish/>
          <w:szCs w:val="22"/>
        </w:rPr>
      </w:pPr>
      <w:r>
        <w:rPr>
          <w:rFonts w:cs="Arial" w:ascii="Arial" w:hAnsi="Arial"/>
          <w:vanish/>
          <w:szCs w:val="22"/>
        </w:rPr>
      </w:r>
    </w:p>
    <w:p>
      <w:pPr>
        <w:pStyle w:val="Normal"/>
        <w:rPr>
          <w:vanish/>
        </w:rPr>
      </w:pPr>
      <w:r>
        <w:rPr>
          <w:vanish/>
        </w:rPr>
      </w:r>
    </w:p>
    <w:p>
      <w:pPr>
        <w:pStyle w:val="Heading5"/>
        <w:ind w:hanging="0" w:start="0"/>
        <w:rPr/>
      </w:pPr>
      <w:r>
        <w:rPr/>
        <w:t>Trades</w:t>
      </w:r>
    </w:p>
    <w:p>
      <w:pPr>
        <w:pStyle w:val="Normal"/>
        <w:rPr>
          <w:rFonts w:ascii="Arial" w:hAnsi="Arial" w:cs="Arial"/>
          <w:b/>
          <w:bCs/>
          <w:color w:val="000000"/>
        </w:rPr>
      </w:pPr>
      <w:r>
        <w:rPr>
          <w:rFonts w:cs="Arial" w:ascii="Arial" w:hAnsi="Arial"/>
          <w:b/>
          <w:bCs/>
          <w:color w:val="000000"/>
        </w:rPr>
      </w:r>
    </w:p>
    <w:p>
      <w:pPr>
        <w:pStyle w:val="Heading2"/>
        <w:ind w:hanging="0" w:start="0"/>
        <w:rPr>
          <w:rFonts w:ascii="Arial" w:hAnsi="Arial" w:cs="Arial"/>
          <w:b w:val="false"/>
          <w:bCs w:val="false"/>
          <w:color w:val="000000"/>
          <w:u w:val="none"/>
        </w:rPr>
      </w:pPr>
      <w:r>
        <w:rPr>
          <w:rFonts w:cs="Arial" w:ascii="Arial" w:hAnsi="Arial"/>
          <w:b w:val="false"/>
          <w:bCs w:val="false"/>
          <w:color w:val="000000"/>
          <w:u w:val="none"/>
        </w:rPr>
        <w:t xml:space="preserve">Traded ERCs vary completely by region and emission source.  The largest markets are Houston-Galveston, Atlanta, San Joaquin Valley, RECLAIM (South Coast Air Quality Management District), Bay Area, Chicago, Dallas-Fort Worth, Salt Lake City and New York-New Jersey.  Due to the highly segregated nature of these markets even the smallest air district can result in significant upside. </w:t>
      </w:r>
    </w:p>
    <w:p>
      <w:pPr>
        <w:pStyle w:val="Heading2"/>
        <w:ind w:hanging="0" w:start="0"/>
        <w:rPr>
          <w:rFonts w:ascii="Arial" w:hAnsi="Arial" w:cs="Arial"/>
          <w:b w:val="false"/>
          <w:bCs w:val="false"/>
          <w:color w:val="000000"/>
          <w:u w:val="none"/>
        </w:rPr>
      </w:pPr>
      <w:r>
        <w:rPr>
          <w:rFonts w:cs="Arial" w:ascii="Arial" w:hAnsi="Arial"/>
          <w:b w:val="false"/>
          <w:bCs w:val="false"/>
          <w:color w:val="000000"/>
          <w:u w:val="none"/>
        </w:rPr>
      </w:r>
    </w:p>
    <w:p>
      <w:pPr>
        <w:pStyle w:val="Heading2"/>
        <w:ind w:hanging="0" w:start="0"/>
        <w:rPr>
          <w:rFonts w:ascii="Arial" w:hAnsi="Arial" w:cs="Arial"/>
          <w:b w:val="false"/>
          <w:bCs w:val="false"/>
          <w:color w:val="000000"/>
        </w:rPr>
      </w:pPr>
      <w:r>
        <w:rPr>
          <w:rFonts w:cs="Arial" w:ascii="Arial" w:hAnsi="Arial"/>
          <w:b w:val="false"/>
          <w:bCs w:val="false"/>
          <w:color w:val="000000"/>
        </w:rPr>
        <w:t>The Strategy</w:t>
      </w:r>
    </w:p>
    <w:p>
      <w:pPr>
        <w:pStyle w:val="Heading2"/>
        <w:ind w:hanging="0" w:start="0"/>
        <w:rPr>
          <w:rFonts w:ascii="Arial" w:hAnsi="Arial" w:cs="Arial"/>
          <w:b w:val="false"/>
          <w:bCs w:val="false"/>
          <w:color w:val="000000"/>
          <w:u w:val="none"/>
        </w:rPr>
      </w:pPr>
      <w:r>
        <w:rPr>
          <w:rFonts w:cs="Arial" w:ascii="Arial" w:hAnsi="Arial"/>
          <w:b w:val="false"/>
          <w:bCs w:val="false"/>
          <w:color w:val="000000"/>
          <w:u w:val="none"/>
        </w:rPr>
      </w:r>
    </w:p>
    <w:p>
      <w:pPr>
        <w:pStyle w:val="Heading2"/>
        <w:ind w:hanging="0" w:start="0"/>
        <w:rPr>
          <w:rFonts w:ascii="Arial" w:hAnsi="Arial" w:cs="Arial"/>
          <w:b w:val="false"/>
          <w:bCs w:val="false"/>
          <w:color w:val="000000"/>
          <w:u w:val="none"/>
        </w:rPr>
      </w:pPr>
      <w:r>
        <w:rPr>
          <w:rFonts w:cs="Arial" w:ascii="Arial" w:hAnsi="Arial"/>
          <w:b w:val="false"/>
          <w:bCs w:val="false"/>
          <w:color w:val="000000"/>
          <w:u w:val="none"/>
        </w:rPr>
        <w:t xml:space="preserve">Enron is an active participant in many ERC markets.  We have taken positions in a variety of pollutants in Houston-Galveston, San Joaquin Valley and Maricopa County, Arizona.  ERCs are becoming increasingly difficult to attain in many regions of the country.  Air districts with particularly acute shortages include Atlanta, Maricopa County, the Bay Area, the San Joaquin Valley, Dallas-Fort Worth and Houston-Galveston.  </w:t>
      </w:r>
    </w:p>
    <w:p>
      <w:pPr>
        <w:pStyle w:val="Heading2"/>
        <w:ind w:hanging="0" w:start="0"/>
        <w:rPr>
          <w:rFonts w:ascii="Arial" w:hAnsi="Arial" w:cs="Arial"/>
          <w:b w:val="false"/>
          <w:bCs w:val="false"/>
          <w:color w:val="000000"/>
          <w:u w:val="none"/>
        </w:rPr>
      </w:pPr>
      <w:r>
        <w:rPr>
          <w:rFonts w:cs="Arial" w:ascii="Arial" w:hAnsi="Arial"/>
          <w:b w:val="false"/>
          <w:bCs w:val="false"/>
          <w:color w:val="000000"/>
          <w:u w:val="none"/>
        </w:rPr>
      </w:r>
    </w:p>
    <w:p>
      <w:pPr>
        <w:pStyle w:val="Heading2"/>
        <w:ind w:hanging="0" w:start="0"/>
        <w:rPr>
          <w:rFonts w:ascii="Arial" w:hAnsi="Arial" w:cs="Arial"/>
          <w:b w:val="false"/>
          <w:bCs w:val="false"/>
          <w:color w:val="000000"/>
          <w:u w:val="none"/>
        </w:rPr>
      </w:pPr>
      <w:r>
        <w:rPr>
          <w:rFonts w:cs="Arial" w:ascii="Arial" w:hAnsi="Arial"/>
          <w:b w:val="false"/>
          <w:bCs w:val="false"/>
          <w:color w:val="000000"/>
          <w:u w:val="none"/>
        </w:rPr>
        <w:t xml:space="preserve">The shortages will raise the opportunity for regulatory agreed upon ERC creation projects.  Examples of potential projects include: (XXXXXXXXXXX).  </w:t>
      </w:r>
    </w:p>
    <w:p>
      <w:pPr>
        <w:pStyle w:val="Heading2"/>
        <w:ind w:hanging="0" w:start="0"/>
        <w:rPr>
          <w:rFonts w:ascii="Arial" w:hAnsi="Arial" w:cs="Arial"/>
          <w:b w:val="false"/>
          <w:bCs w:val="false"/>
          <w:color w:val="000000"/>
          <w:u w:val="none"/>
        </w:rPr>
      </w:pPr>
      <w:r>
        <w:rPr>
          <w:rFonts w:cs="Arial" w:ascii="Arial" w:hAnsi="Arial"/>
          <w:b w:val="false"/>
          <w:bCs w:val="false"/>
          <w:color w:val="000000"/>
          <w:u w:val="none"/>
        </w:rPr>
      </w:r>
    </w:p>
    <w:p>
      <w:pPr>
        <w:pStyle w:val="Heading2"/>
        <w:ind w:hanging="0" w:start="0"/>
        <w:rPr>
          <w:rFonts w:ascii="Arial" w:hAnsi="Arial" w:cs="Arial"/>
          <w:b w:val="false"/>
          <w:bCs w:val="false"/>
          <w:color w:val="000000"/>
          <w:u w:val="none"/>
        </w:rPr>
      </w:pPr>
      <w:r>
        <w:rPr>
          <w:rFonts w:cs="Arial" w:ascii="Arial" w:hAnsi="Arial"/>
          <w:b w:val="false"/>
          <w:bCs w:val="false"/>
          <w:color w:val="000000"/>
          <w:u w:val="none"/>
        </w:rPr>
        <w:t xml:space="preserve">Another significant market for ERCs are disbanded and shutdown plants.  To this end we’re targeting companies in difficult markets in non-attainment regions.  One example is methanol and MTBE plants in the ship channel.  As many of these plants shutdown they are being sold to companies interested in converting them into lower emission producing entities.  By exploiting this spread we may be able to realize significant amounts of credits at very competitive rates.  </w:t>
      </w:r>
    </w:p>
    <w:p>
      <w:pPr>
        <w:pStyle w:val="Normal"/>
        <w:rPr>
          <w:rFonts w:ascii="Arial" w:hAnsi="Arial" w:cs="Arial"/>
          <w:b/>
          <w:bCs/>
          <w:color w:val="000000"/>
          <w:u w:val="none"/>
        </w:rPr>
      </w:pPr>
      <w:r>
        <w:rPr>
          <w:rFonts w:cs="Arial" w:ascii="Arial" w:hAnsi="Arial"/>
          <w:b/>
          <w:bCs/>
          <w:color w:val="000000"/>
          <w:u w:val="none"/>
        </w:rPr>
      </w:r>
    </w:p>
    <w:p>
      <w:pPr>
        <w:pStyle w:val="Normal"/>
        <w:rPr>
          <w:rFonts w:ascii="Arial" w:hAnsi="Arial" w:cs="Arial"/>
        </w:rPr>
      </w:pPr>
      <w:r>
        <w:rPr>
          <w:rFonts w:cs="Arial" w:ascii="Arial" w:hAnsi="Arial"/>
        </w:rPr>
        <w:t>Houston-Galveston Potential Methanol Targets (</w:t>
      </w:r>
      <w:r>
        <w:rPr>
          <w:rFonts w:cs="Arial" w:ascii="Arial" w:hAnsi="Arial"/>
          <w:highlight w:val="yellow"/>
        </w:rPr>
        <w:t>may move to appendix)</w:t>
      </w:r>
    </w:p>
    <w:p>
      <w:pPr>
        <w:pStyle w:val="Normal"/>
        <w:rPr>
          <w:rFonts w:ascii="Arial" w:hAnsi="Arial" w:cs="Arial"/>
        </w:rPr>
      </w:pPr>
      <w:r>
        <w:rPr>
          <w:rFonts w:cs="Arial" w:ascii="Arial" w:hAnsi="Arial"/>
        </w:rPr>
      </w:r>
    </w:p>
    <w:tbl>
      <w:tblPr>
        <w:tblW w:w="9682" w:type="dxa"/>
        <w:jc w:val="start"/>
        <w:tblInd w:w="0" w:type="dxa"/>
        <w:tblLayout w:type="fixed"/>
        <w:tblCellMar>
          <w:top w:w="15" w:type="dxa"/>
          <w:start w:w="15" w:type="dxa"/>
          <w:bottom w:w="0" w:type="dxa"/>
          <w:end w:w="15" w:type="dxa"/>
        </w:tblCellMar>
      </w:tblPr>
      <w:tblGrid>
        <w:gridCol w:w="2040"/>
        <w:gridCol w:w="1542"/>
        <w:gridCol w:w="1780"/>
        <w:gridCol w:w="760"/>
        <w:gridCol w:w="640"/>
        <w:gridCol w:w="2920"/>
      </w:tblGrid>
      <w:tr>
        <w:trPr>
          <w:trHeight w:val="255" w:hRule="atLeast"/>
        </w:trPr>
        <w:tc>
          <w:tcPr>
            <w:tcW w:w="2040" w:type="dxa"/>
            <w:tcBorders/>
            <w:shd w:fill="CCFFCC" w:val="clear"/>
            <w:vAlign w:val="bottom"/>
          </w:tcPr>
          <w:p>
            <w:pPr>
              <w:pStyle w:val="Normal"/>
              <w:rPr>
                <w:rFonts w:ascii="Arial" w:hAnsi="Arial" w:eastAsia="Arial Unicode MS" w:cs="Arial"/>
                <w:sz w:val="20"/>
                <w:szCs w:val="20"/>
              </w:rPr>
            </w:pPr>
            <w:r>
              <w:rPr>
                <w:rFonts w:cs="Arial" w:ascii="Arial" w:hAnsi="Arial"/>
                <w:sz w:val="20"/>
                <w:szCs w:val="20"/>
              </w:rPr>
              <w:t>Company</w:t>
            </w:r>
          </w:p>
        </w:tc>
        <w:tc>
          <w:tcPr>
            <w:tcW w:w="1542" w:type="dxa"/>
            <w:tcBorders/>
            <w:shd w:fill="CCFFCC" w:val="clear"/>
            <w:vAlign w:val="bottom"/>
          </w:tcPr>
          <w:p>
            <w:pPr>
              <w:pStyle w:val="Normal"/>
              <w:rPr>
                <w:rFonts w:ascii="Arial" w:hAnsi="Arial" w:eastAsia="Arial Unicode MS" w:cs="Arial"/>
                <w:sz w:val="20"/>
                <w:szCs w:val="20"/>
              </w:rPr>
            </w:pPr>
            <w:r>
              <w:rPr>
                <w:rFonts w:cs="Arial" w:ascii="Arial" w:hAnsi="Arial"/>
                <w:sz w:val="20"/>
                <w:szCs w:val="20"/>
              </w:rPr>
              <w:t>Location</w:t>
            </w:r>
          </w:p>
        </w:tc>
        <w:tc>
          <w:tcPr>
            <w:tcW w:w="1780" w:type="dxa"/>
            <w:tcBorders/>
            <w:shd w:fill="CCFFCC" w:val="clear"/>
            <w:vAlign w:val="bottom"/>
          </w:tcPr>
          <w:p>
            <w:pPr>
              <w:pStyle w:val="Normal"/>
              <w:rPr>
                <w:rFonts w:ascii="Arial" w:hAnsi="Arial" w:eastAsia="Arial Unicode MS" w:cs="Arial"/>
                <w:sz w:val="20"/>
                <w:szCs w:val="20"/>
              </w:rPr>
            </w:pPr>
            <w:r>
              <w:rPr>
                <w:rFonts w:cs="Arial" w:ascii="Arial" w:hAnsi="Arial"/>
                <w:sz w:val="20"/>
                <w:szCs w:val="20"/>
              </w:rPr>
              <w:t>Capactiy MMGALS</w:t>
            </w:r>
          </w:p>
        </w:tc>
        <w:tc>
          <w:tcPr>
            <w:tcW w:w="760" w:type="dxa"/>
            <w:tcBorders/>
            <w:shd w:fill="CCFFCC" w:val="clear"/>
            <w:vAlign w:val="bottom"/>
          </w:tcPr>
          <w:p>
            <w:pPr>
              <w:pStyle w:val="Normal"/>
              <w:rPr>
                <w:rFonts w:ascii="Arial" w:hAnsi="Arial" w:eastAsia="Arial Unicode MS" w:cs="Arial"/>
                <w:sz w:val="20"/>
                <w:szCs w:val="20"/>
              </w:rPr>
            </w:pPr>
            <w:r>
              <w:rPr>
                <w:rFonts w:cs="Arial" w:ascii="Arial" w:hAnsi="Arial"/>
                <w:sz w:val="20"/>
                <w:szCs w:val="20"/>
              </w:rPr>
              <w:t>FEEDS</w:t>
            </w:r>
          </w:p>
        </w:tc>
        <w:tc>
          <w:tcPr>
            <w:tcW w:w="640" w:type="dxa"/>
            <w:tcBorders/>
            <w:shd w:fill="CCFFCC" w:val="clear"/>
            <w:vAlign w:val="bottom"/>
          </w:tcPr>
          <w:p>
            <w:pPr>
              <w:pStyle w:val="Normal"/>
              <w:rPr>
                <w:rFonts w:ascii="Arial" w:hAnsi="Arial" w:eastAsia="Arial Unicode MS" w:cs="Arial"/>
                <w:sz w:val="20"/>
                <w:szCs w:val="20"/>
              </w:rPr>
            </w:pPr>
            <w:r>
              <w:rPr>
                <w:rFonts w:cs="Arial" w:ascii="Arial" w:hAnsi="Arial"/>
                <w:sz w:val="20"/>
                <w:szCs w:val="20"/>
              </w:rPr>
              <w:t>Built</w:t>
            </w:r>
          </w:p>
        </w:tc>
        <w:tc>
          <w:tcPr>
            <w:tcW w:w="2920" w:type="dxa"/>
            <w:tcBorders/>
            <w:shd w:fill="CCFFCC" w:val="clear"/>
            <w:vAlign w:val="bottom"/>
          </w:tcPr>
          <w:p>
            <w:pPr>
              <w:pStyle w:val="Normal"/>
              <w:rPr>
                <w:rFonts w:ascii="Arial" w:hAnsi="Arial" w:eastAsia="Arial Unicode MS" w:cs="Arial"/>
                <w:sz w:val="20"/>
                <w:szCs w:val="20"/>
              </w:rPr>
            </w:pPr>
            <w:r>
              <w:rPr>
                <w:rFonts w:cs="Arial" w:ascii="Arial" w:hAnsi="Arial"/>
                <w:sz w:val="20"/>
                <w:szCs w:val="20"/>
              </w:rPr>
              <w:t>Comments</w:t>
            </w:r>
          </w:p>
        </w:tc>
      </w:tr>
      <w:tr>
        <w:trPr>
          <w:trHeight w:val="270" w:hRule="atLeast"/>
        </w:trPr>
        <w:tc>
          <w:tcPr>
            <w:tcW w:w="2040" w:type="dxa"/>
            <w:tcBorders/>
            <w:shd w:fill="FFFF99" w:val="clear"/>
            <w:vAlign w:val="bottom"/>
          </w:tcPr>
          <w:p>
            <w:pPr>
              <w:pStyle w:val="Normal"/>
              <w:rPr>
                <w:rFonts w:ascii="Arial" w:hAnsi="Arial" w:eastAsia="Arial Unicode MS" w:cs="Arial"/>
                <w:sz w:val="20"/>
                <w:szCs w:val="20"/>
              </w:rPr>
            </w:pPr>
            <w:r>
              <w:rPr>
                <w:rFonts w:cs="Arial" w:ascii="Arial" w:hAnsi="Arial"/>
                <w:sz w:val="20"/>
                <w:szCs w:val="20"/>
              </w:rPr>
              <w:t>BP/STERLING</w:t>
            </w:r>
          </w:p>
        </w:tc>
        <w:tc>
          <w:tcPr>
            <w:tcW w:w="1542" w:type="dxa"/>
            <w:tcBorders/>
            <w:vAlign w:val="bottom"/>
          </w:tcPr>
          <w:p>
            <w:pPr>
              <w:pStyle w:val="Normal"/>
              <w:rPr>
                <w:rFonts w:ascii="Arial" w:hAnsi="Arial" w:eastAsia="Arial Unicode MS" w:cs="Arial"/>
                <w:sz w:val="20"/>
                <w:szCs w:val="20"/>
              </w:rPr>
            </w:pPr>
            <w:r>
              <w:rPr>
                <w:rFonts w:cs="Arial" w:ascii="Arial" w:hAnsi="Arial"/>
                <w:sz w:val="20"/>
                <w:szCs w:val="20"/>
              </w:rPr>
              <w:t>Texas City, TX</w:t>
            </w:r>
          </w:p>
        </w:tc>
        <w:tc>
          <w:tcPr>
            <w:tcW w:w="1780" w:type="dxa"/>
            <w:tcBorders/>
            <w:vAlign w:val="bottom"/>
          </w:tcPr>
          <w:p>
            <w:pPr>
              <w:pStyle w:val="Normal"/>
              <w:jc w:val="end"/>
              <w:rPr>
                <w:rFonts w:ascii="Arial" w:hAnsi="Arial" w:eastAsia="Arial Unicode MS" w:cs="Arial"/>
                <w:sz w:val="20"/>
                <w:szCs w:val="20"/>
              </w:rPr>
            </w:pPr>
            <w:r>
              <w:rPr>
                <w:rFonts w:cs="Arial" w:ascii="Arial" w:hAnsi="Arial"/>
                <w:sz w:val="20"/>
                <w:szCs w:val="20"/>
              </w:rPr>
              <w:t>150</w:t>
            </w:r>
          </w:p>
        </w:tc>
        <w:tc>
          <w:tcPr>
            <w:tcW w:w="760" w:type="dxa"/>
            <w:tcBorders/>
            <w:vAlign w:val="bottom"/>
          </w:tcPr>
          <w:p>
            <w:pPr>
              <w:pStyle w:val="Normal"/>
              <w:rPr>
                <w:rFonts w:ascii="Arial" w:hAnsi="Arial" w:eastAsia="Arial Unicode MS" w:cs="Arial"/>
                <w:sz w:val="20"/>
                <w:szCs w:val="20"/>
              </w:rPr>
            </w:pPr>
            <w:r>
              <w:rPr>
                <w:rFonts w:cs="Arial" w:ascii="Arial" w:hAnsi="Arial"/>
                <w:sz w:val="20"/>
                <w:szCs w:val="20"/>
              </w:rPr>
              <w:t>NG</w:t>
            </w:r>
          </w:p>
        </w:tc>
        <w:tc>
          <w:tcPr>
            <w:tcW w:w="640" w:type="dxa"/>
            <w:tcBorders/>
            <w:vAlign w:val="bottom"/>
          </w:tcPr>
          <w:p>
            <w:pPr>
              <w:pStyle w:val="Normal"/>
              <w:jc w:val="center"/>
              <w:rPr>
                <w:rFonts w:ascii="Arial" w:hAnsi="Arial" w:eastAsia="Arial Unicode MS" w:cs="Arial"/>
                <w:sz w:val="20"/>
                <w:szCs w:val="20"/>
              </w:rPr>
            </w:pPr>
            <w:r>
              <w:rPr>
                <w:rFonts w:cs="Arial" w:ascii="Arial" w:hAnsi="Arial"/>
                <w:sz w:val="20"/>
                <w:szCs w:val="20"/>
              </w:rPr>
              <w:t>1970's</w:t>
            </w:r>
          </w:p>
        </w:tc>
        <w:tc>
          <w:tcPr>
            <w:tcW w:w="2920" w:type="dxa"/>
            <w:tcBorders/>
            <w:vAlign w:val="bottom"/>
          </w:tcPr>
          <w:p>
            <w:pPr>
              <w:pStyle w:val="Normal"/>
              <w:rPr>
                <w:rFonts w:ascii="Arial" w:hAnsi="Arial" w:eastAsia="Arial Unicode MS" w:cs="Arial"/>
                <w:sz w:val="20"/>
                <w:szCs w:val="20"/>
              </w:rPr>
            </w:pPr>
            <w:r>
              <w:rPr>
                <w:rFonts w:cs="Arial" w:ascii="Arial" w:hAnsi="Arial"/>
                <w:sz w:val="20"/>
                <w:szCs w:val="20"/>
              </w:rPr>
              <w:t>reopened 1996</w:t>
            </w:r>
          </w:p>
        </w:tc>
      </w:tr>
      <w:tr>
        <w:trPr>
          <w:trHeight w:val="255" w:hRule="atLeast"/>
        </w:trPr>
        <w:tc>
          <w:tcPr>
            <w:tcW w:w="2040" w:type="dxa"/>
            <w:tcBorders/>
            <w:shd w:fill="FFFF99" w:val="clear"/>
            <w:vAlign w:val="bottom"/>
          </w:tcPr>
          <w:p>
            <w:pPr>
              <w:pStyle w:val="Normal"/>
              <w:rPr>
                <w:rFonts w:ascii="Arial" w:hAnsi="Arial" w:eastAsia="Arial Unicode MS" w:cs="Arial"/>
                <w:sz w:val="20"/>
                <w:szCs w:val="20"/>
              </w:rPr>
            </w:pPr>
            <w:r>
              <w:rPr>
                <w:rFonts w:cs="Arial" w:ascii="Arial" w:hAnsi="Arial"/>
                <w:sz w:val="20"/>
                <w:szCs w:val="20"/>
              </w:rPr>
              <w:t>ENRON</w:t>
            </w:r>
          </w:p>
        </w:tc>
        <w:tc>
          <w:tcPr>
            <w:tcW w:w="1542" w:type="dxa"/>
            <w:tcBorders/>
            <w:vAlign w:val="bottom"/>
          </w:tcPr>
          <w:p>
            <w:pPr>
              <w:pStyle w:val="Normal"/>
              <w:rPr>
                <w:rFonts w:ascii="Arial" w:hAnsi="Arial" w:eastAsia="Arial Unicode MS" w:cs="Arial"/>
                <w:sz w:val="20"/>
                <w:szCs w:val="20"/>
              </w:rPr>
            </w:pPr>
            <w:r>
              <w:rPr>
                <w:rFonts w:cs="Arial" w:ascii="Arial" w:hAnsi="Arial"/>
                <w:sz w:val="20"/>
                <w:szCs w:val="20"/>
              </w:rPr>
              <w:t>Pasadena, TX</w:t>
            </w:r>
          </w:p>
        </w:tc>
        <w:tc>
          <w:tcPr>
            <w:tcW w:w="1780" w:type="dxa"/>
            <w:tcBorders/>
            <w:vAlign w:val="bottom"/>
          </w:tcPr>
          <w:p>
            <w:pPr>
              <w:pStyle w:val="Normal"/>
              <w:jc w:val="end"/>
              <w:rPr>
                <w:rFonts w:ascii="Arial" w:hAnsi="Arial" w:eastAsia="Arial Unicode MS" w:cs="Arial"/>
                <w:sz w:val="20"/>
                <w:szCs w:val="20"/>
              </w:rPr>
            </w:pPr>
            <w:r>
              <w:rPr>
                <w:rFonts w:cs="Arial" w:ascii="Arial" w:hAnsi="Arial"/>
                <w:sz w:val="20"/>
                <w:szCs w:val="20"/>
              </w:rPr>
              <w:t>125</w:t>
            </w:r>
          </w:p>
        </w:tc>
        <w:tc>
          <w:tcPr>
            <w:tcW w:w="760" w:type="dxa"/>
            <w:tcBorders/>
            <w:vAlign w:val="bottom"/>
          </w:tcPr>
          <w:p>
            <w:pPr>
              <w:pStyle w:val="Normal"/>
              <w:rPr>
                <w:rFonts w:ascii="Arial" w:hAnsi="Arial" w:eastAsia="Arial Unicode MS" w:cs="Arial"/>
                <w:sz w:val="20"/>
                <w:szCs w:val="20"/>
              </w:rPr>
            </w:pPr>
            <w:r>
              <w:rPr>
                <w:rFonts w:cs="Arial" w:ascii="Arial" w:hAnsi="Arial"/>
                <w:sz w:val="20"/>
                <w:szCs w:val="20"/>
              </w:rPr>
              <w:t>NG</w:t>
            </w:r>
          </w:p>
        </w:tc>
        <w:tc>
          <w:tcPr>
            <w:tcW w:w="640" w:type="dxa"/>
            <w:tcBorders/>
            <w:vAlign w:val="bottom"/>
          </w:tcPr>
          <w:p>
            <w:pPr>
              <w:pStyle w:val="Normal"/>
              <w:jc w:val="center"/>
              <w:rPr>
                <w:rFonts w:ascii="Arial" w:hAnsi="Arial" w:eastAsia="Arial Unicode MS" w:cs="Arial"/>
                <w:sz w:val="20"/>
                <w:szCs w:val="20"/>
              </w:rPr>
            </w:pPr>
            <w:r>
              <w:rPr>
                <w:rFonts w:cs="Arial" w:ascii="Arial" w:hAnsi="Arial"/>
                <w:sz w:val="20"/>
                <w:szCs w:val="20"/>
              </w:rPr>
              <w:t>1970</w:t>
            </w:r>
          </w:p>
        </w:tc>
        <w:tc>
          <w:tcPr>
            <w:tcW w:w="29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55" w:hRule="atLeast"/>
        </w:trPr>
        <w:tc>
          <w:tcPr>
            <w:tcW w:w="2040" w:type="dxa"/>
            <w:tcBorders/>
            <w:shd w:fill="FFFF99" w:val="clear"/>
            <w:vAlign w:val="bottom"/>
          </w:tcPr>
          <w:p>
            <w:pPr>
              <w:pStyle w:val="Normal"/>
              <w:rPr>
                <w:rFonts w:ascii="Arial" w:hAnsi="Arial" w:eastAsia="Arial Unicode MS" w:cs="Arial"/>
                <w:sz w:val="20"/>
                <w:szCs w:val="20"/>
              </w:rPr>
            </w:pPr>
            <w:r>
              <w:rPr>
                <w:rFonts w:cs="Arial" w:ascii="Arial" w:hAnsi="Arial"/>
                <w:sz w:val="20"/>
                <w:szCs w:val="20"/>
              </w:rPr>
              <w:t>LYONDELL</w:t>
            </w:r>
          </w:p>
        </w:tc>
        <w:tc>
          <w:tcPr>
            <w:tcW w:w="1542" w:type="dxa"/>
            <w:tcBorders/>
            <w:vAlign w:val="bottom"/>
          </w:tcPr>
          <w:p>
            <w:pPr>
              <w:pStyle w:val="Normal"/>
              <w:rPr>
                <w:rFonts w:ascii="Arial" w:hAnsi="Arial" w:eastAsia="Arial Unicode MS" w:cs="Arial"/>
                <w:sz w:val="20"/>
                <w:szCs w:val="20"/>
              </w:rPr>
            </w:pPr>
            <w:r>
              <w:rPr>
                <w:rFonts w:cs="Arial" w:ascii="Arial" w:hAnsi="Arial"/>
                <w:sz w:val="20"/>
                <w:szCs w:val="20"/>
              </w:rPr>
              <w:t>Channelview, TX</w:t>
            </w:r>
          </w:p>
        </w:tc>
        <w:tc>
          <w:tcPr>
            <w:tcW w:w="1780" w:type="dxa"/>
            <w:tcBorders/>
            <w:vAlign w:val="bottom"/>
          </w:tcPr>
          <w:p>
            <w:pPr>
              <w:pStyle w:val="Normal"/>
              <w:jc w:val="end"/>
              <w:rPr>
                <w:rFonts w:ascii="Arial" w:hAnsi="Arial" w:eastAsia="Arial Unicode MS" w:cs="Arial"/>
                <w:sz w:val="20"/>
                <w:szCs w:val="20"/>
              </w:rPr>
            </w:pPr>
            <w:r>
              <w:rPr>
                <w:rFonts w:cs="Arial" w:ascii="Arial" w:hAnsi="Arial"/>
                <w:sz w:val="20"/>
                <w:szCs w:val="20"/>
              </w:rPr>
              <w:t>260</w:t>
            </w:r>
          </w:p>
        </w:tc>
        <w:tc>
          <w:tcPr>
            <w:tcW w:w="760" w:type="dxa"/>
            <w:tcBorders/>
            <w:vAlign w:val="bottom"/>
          </w:tcPr>
          <w:p>
            <w:pPr>
              <w:pStyle w:val="Normal"/>
              <w:rPr>
                <w:rFonts w:ascii="Arial" w:hAnsi="Arial" w:eastAsia="Arial Unicode MS" w:cs="Arial"/>
                <w:sz w:val="20"/>
                <w:szCs w:val="20"/>
              </w:rPr>
            </w:pPr>
            <w:r>
              <w:rPr>
                <w:rFonts w:cs="Arial" w:ascii="Arial" w:hAnsi="Arial"/>
                <w:sz w:val="20"/>
                <w:szCs w:val="20"/>
              </w:rPr>
              <w:t>NG</w:t>
            </w:r>
          </w:p>
        </w:tc>
        <w:tc>
          <w:tcPr>
            <w:tcW w:w="640" w:type="dxa"/>
            <w:tcBorders/>
            <w:vAlign w:val="bottom"/>
          </w:tcPr>
          <w:p>
            <w:pPr>
              <w:pStyle w:val="Normal"/>
              <w:jc w:val="center"/>
              <w:rPr>
                <w:rFonts w:ascii="Arial" w:hAnsi="Arial" w:eastAsia="Arial Unicode MS" w:cs="Arial"/>
                <w:sz w:val="20"/>
                <w:szCs w:val="20"/>
              </w:rPr>
            </w:pPr>
            <w:r>
              <w:rPr>
                <w:rFonts w:cs="Arial" w:ascii="Arial" w:hAnsi="Arial"/>
                <w:sz w:val="20"/>
                <w:szCs w:val="20"/>
              </w:rPr>
              <w:t>1983</w:t>
            </w:r>
          </w:p>
        </w:tc>
        <w:tc>
          <w:tcPr>
            <w:tcW w:w="2920" w:type="dxa"/>
            <w:tcBorders/>
            <w:vAlign w:val="bottom"/>
          </w:tcPr>
          <w:p>
            <w:pPr>
              <w:pStyle w:val="Normal"/>
              <w:snapToGrid w:val="false"/>
              <w:rPr>
                <w:rFonts w:ascii="Arial" w:hAnsi="Arial" w:eastAsia="Arial Unicode MS" w:cs="Arial"/>
                <w:sz w:val="20"/>
                <w:szCs w:val="20"/>
              </w:rPr>
            </w:pPr>
            <w:r>
              <w:rPr>
                <w:rFonts w:eastAsia="Arial Unicode MS" w:cs="Arial" w:ascii="Arial" w:hAnsi="Arial"/>
                <w:sz w:val="20"/>
                <w:szCs w:val="20"/>
              </w:rPr>
            </w:r>
          </w:p>
        </w:tc>
      </w:tr>
      <w:tr>
        <w:trPr>
          <w:trHeight w:val="255" w:hRule="atLeast"/>
        </w:trPr>
        <w:tc>
          <w:tcPr>
            <w:tcW w:w="2040" w:type="dxa"/>
            <w:tcBorders/>
            <w:shd w:fill="FFFF99" w:val="clear"/>
            <w:vAlign w:val="bottom"/>
          </w:tcPr>
          <w:p>
            <w:pPr>
              <w:pStyle w:val="Normal"/>
              <w:rPr>
                <w:rFonts w:ascii="Arial" w:hAnsi="Arial" w:eastAsia="Arial Unicode MS" w:cs="Arial"/>
                <w:sz w:val="20"/>
                <w:szCs w:val="20"/>
              </w:rPr>
            </w:pPr>
            <w:r>
              <w:rPr>
                <w:rFonts w:cs="Arial" w:ascii="Arial" w:hAnsi="Arial"/>
                <w:sz w:val="20"/>
                <w:szCs w:val="20"/>
              </w:rPr>
              <w:t>CELANESE/VALERO</w:t>
            </w:r>
          </w:p>
        </w:tc>
        <w:tc>
          <w:tcPr>
            <w:tcW w:w="1542" w:type="dxa"/>
            <w:tcBorders/>
            <w:vAlign w:val="bottom"/>
          </w:tcPr>
          <w:p>
            <w:pPr>
              <w:pStyle w:val="Normal"/>
              <w:rPr>
                <w:rFonts w:ascii="Arial" w:hAnsi="Arial" w:eastAsia="Arial Unicode MS" w:cs="Arial"/>
                <w:sz w:val="20"/>
                <w:szCs w:val="20"/>
              </w:rPr>
            </w:pPr>
            <w:r>
              <w:rPr>
                <w:rFonts w:cs="Arial" w:ascii="Arial" w:hAnsi="Arial"/>
                <w:sz w:val="20"/>
                <w:szCs w:val="20"/>
              </w:rPr>
              <w:t>Clear Lake, TX</w:t>
            </w:r>
          </w:p>
        </w:tc>
        <w:tc>
          <w:tcPr>
            <w:tcW w:w="1780" w:type="dxa"/>
            <w:tcBorders/>
            <w:vAlign w:val="bottom"/>
          </w:tcPr>
          <w:p>
            <w:pPr>
              <w:pStyle w:val="Normal"/>
              <w:jc w:val="end"/>
              <w:rPr>
                <w:rFonts w:ascii="Arial" w:hAnsi="Arial" w:eastAsia="Arial Unicode MS" w:cs="Arial"/>
                <w:sz w:val="20"/>
                <w:szCs w:val="20"/>
              </w:rPr>
            </w:pPr>
            <w:r>
              <w:rPr>
                <w:rFonts w:cs="Arial" w:ascii="Arial" w:hAnsi="Arial"/>
                <w:sz w:val="20"/>
                <w:szCs w:val="20"/>
              </w:rPr>
              <w:t>200</w:t>
            </w:r>
          </w:p>
        </w:tc>
        <w:tc>
          <w:tcPr>
            <w:tcW w:w="760" w:type="dxa"/>
            <w:tcBorders/>
            <w:vAlign w:val="bottom"/>
          </w:tcPr>
          <w:p>
            <w:pPr>
              <w:pStyle w:val="Normal"/>
              <w:rPr>
                <w:rFonts w:ascii="Arial" w:hAnsi="Arial" w:eastAsia="Arial Unicode MS" w:cs="Arial"/>
                <w:sz w:val="20"/>
                <w:szCs w:val="20"/>
              </w:rPr>
            </w:pPr>
            <w:r>
              <w:rPr>
                <w:rFonts w:cs="Arial" w:ascii="Arial" w:hAnsi="Arial"/>
                <w:sz w:val="20"/>
                <w:szCs w:val="20"/>
              </w:rPr>
              <w:t>NG</w:t>
            </w:r>
          </w:p>
        </w:tc>
        <w:tc>
          <w:tcPr>
            <w:tcW w:w="640" w:type="dxa"/>
            <w:tcBorders/>
            <w:vAlign w:val="bottom"/>
          </w:tcPr>
          <w:p>
            <w:pPr>
              <w:pStyle w:val="Normal"/>
              <w:jc w:val="center"/>
              <w:rPr>
                <w:rFonts w:ascii="Arial" w:hAnsi="Arial" w:eastAsia="Arial Unicode MS" w:cs="Arial"/>
                <w:sz w:val="20"/>
                <w:szCs w:val="20"/>
              </w:rPr>
            </w:pPr>
            <w:r>
              <w:rPr>
                <w:rFonts w:cs="Arial" w:ascii="Arial" w:hAnsi="Arial"/>
                <w:sz w:val="20"/>
                <w:szCs w:val="20"/>
              </w:rPr>
              <w:t>1966</w:t>
            </w:r>
          </w:p>
        </w:tc>
        <w:tc>
          <w:tcPr>
            <w:tcW w:w="2920" w:type="dxa"/>
            <w:tcBorders/>
            <w:vAlign w:val="bottom"/>
          </w:tcPr>
          <w:p>
            <w:pPr>
              <w:pStyle w:val="Normal"/>
              <w:rPr>
                <w:rFonts w:ascii="Arial" w:hAnsi="Arial" w:eastAsia="Arial Unicode MS" w:cs="Arial"/>
                <w:sz w:val="20"/>
                <w:szCs w:val="20"/>
              </w:rPr>
            </w:pPr>
            <w:r>
              <w:rPr>
                <w:rFonts w:cs="Arial" w:ascii="Arial" w:hAnsi="Arial"/>
                <w:sz w:val="20"/>
                <w:szCs w:val="20"/>
              </w:rPr>
              <w:t>reopened with upgrades in 1995</w:t>
            </w:r>
          </w:p>
        </w:tc>
      </w:tr>
      <w:tr>
        <w:trPr>
          <w:trHeight w:val="255" w:hRule="atLeast"/>
        </w:trPr>
        <w:tc>
          <w:tcPr>
            <w:tcW w:w="2040" w:type="dxa"/>
            <w:tcBorders/>
            <w:shd w:fill="FFFF99" w:val="clear"/>
            <w:vAlign w:val="bottom"/>
          </w:tcPr>
          <w:p>
            <w:pPr>
              <w:pStyle w:val="Normal"/>
              <w:rPr>
                <w:rFonts w:ascii="Arial" w:hAnsi="Arial" w:eastAsia="Arial Unicode MS" w:cs="Arial"/>
                <w:sz w:val="20"/>
                <w:szCs w:val="20"/>
              </w:rPr>
            </w:pPr>
            <w:r>
              <w:rPr>
                <w:rFonts w:cs="Arial" w:ascii="Arial" w:hAnsi="Arial"/>
                <w:sz w:val="20"/>
                <w:szCs w:val="20"/>
              </w:rPr>
              <w:t>MILLENNIUM</w:t>
            </w:r>
          </w:p>
        </w:tc>
        <w:tc>
          <w:tcPr>
            <w:tcW w:w="1542" w:type="dxa"/>
            <w:tcBorders/>
            <w:vAlign w:val="bottom"/>
          </w:tcPr>
          <w:p>
            <w:pPr>
              <w:pStyle w:val="Normal"/>
              <w:rPr>
                <w:rFonts w:ascii="Arial" w:hAnsi="Arial" w:eastAsia="Arial Unicode MS" w:cs="Arial"/>
                <w:sz w:val="20"/>
                <w:szCs w:val="20"/>
              </w:rPr>
            </w:pPr>
            <w:r>
              <w:rPr>
                <w:rFonts w:cs="Arial" w:ascii="Arial" w:hAnsi="Arial"/>
                <w:sz w:val="20"/>
                <w:szCs w:val="20"/>
              </w:rPr>
              <w:t>Deer Park, TX</w:t>
            </w:r>
          </w:p>
        </w:tc>
        <w:tc>
          <w:tcPr>
            <w:tcW w:w="1780" w:type="dxa"/>
            <w:tcBorders/>
            <w:vAlign w:val="bottom"/>
          </w:tcPr>
          <w:p>
            <w:pPr>
              <w:pStyle w:val="Normal"/>
              <w:jc w:val="end"/>
              <w:rPr>
                <w:rFonts w:ascii="Arial" w:hAnsi="Arial" w:eastAsia="Arial Unicode MS" w:cs="Arial"/>
                <w:sz w:val="20"/>
                <w:szCs w:val="20"/>
              </w:rPr>
            </w:pPr>
            <w:r>
              <w:rPr>
                <w:rFonts w:cs="Arial" w:ascii="Arial" w:hAnsi="Arial"/>
                <w:sz w:val="20"/>
                <w:szCs w:val="20"/>
              </w:rPr>
              <w:t>200</w:t>
            </w:r>
          </w:p>
        </w:tc>
        <w:tc>
          <w:tcPr>
            <w:tcW w:w="760" w:type="dxa"/>
            <w:tcBorders/>
            <w:vAlign w:val="bottom"/>
          </w:tcPr>
          <w:p>
            <w:pPr>
              <w:pStyle w:val="Normal"/>
              <w:rPr>
                <w:rFonts w:ascii="Arial" w:hAnsi="Arial" w:eastAsia="Arial Unicode MS" w:cs="Arial"/>
                <w:sz w:val="20"/>
                <w:szCs w:val="20"/>
              </w:rPr>
            </w:pPr>
            <w:r>
              <w:rPr>
                <w:rFonts w:cs="Arial" w:ascii="Arial" w:hAnsi="Arial"/>
                <w:sz w:val="20"/>
                <w:szCs w:val="20"/>
              </w:rPr>
              <w:t>NG</w:t>
            </w:r>
          </w:p>
        </w:tc>
        <w:tc>
          <w:tcPr>
            <w:tcW w:w="640" w:type="dxa"/>
            <w:tcBorders/>
            <w:vAlign w:val="bottom"/>
          </w:tcPr>
          <w:p>
            <w:pPr>
              <w:pStyle w:val="Normal"/>
              <w:jc w:val="center"/>
              <w:rPr>
                <w:rFonts w:ascii="Arial" w:hAnsi="Arial" w:eastAsia="Arial Unicode MS" w:cs="Arial"/>
                <w:sz w:val="20"/>
                <w:szCs w:val="20"/>
              </w:rPr>
            </w:pPr>
            <w:r>
              <w:rPr>
                <w:rFonts w:cs="Arial" w:ascii="Arial" w:hAnsi="Arial"/>
                <w:sz w:val="20"/>
                <w:szCs w:val="20"/>
              </w:rPr>
              <w:t>1968</w:t>
            </w:r>
          </w:p>
        </w:tc>
        <w:tc>
          <w:tcPr>
            <w:tcW w:w="2920" w:type="dxa"/>
            <w:tcBorders/>
            <w:vAlign w:val="bottom"/>
          </w:tcPr>
          <w:p>
            <w:pPr>
              <w:pStyle w:val="Normal"/>
              <w:rPr>
                <w:rFonts w:ascii="Arial" w:hAnsi="Arial" w:eastAsia="Arial Unicode MS" w:cs="Arial"/>
                <w:sz w:val="20"/>
                <w:szCs w:val="20"/>
              </w:rPr>
            </w:pPr>
            <w:r>
              <w:rPr>
                <w:rFonts w:cs="Arial" w:ascii="Arial" w:hAnsi="Arial"/>
                <w:sz w:val="20"/>
                <w:szCs w:val="20"/>
              </w:rPr>
              <w:t>Formerly Quantum</w:t>
            </w:r>
          </w:p>
        </w:tc>
      </w:tr>
    </w:tbl>
    <w:p>
      <w:pPr>
        <w:pStyle w:val="Normal"/>
        <w:rPr/>
      </w:pPr>
      <w:r>
        <w:rPr/>
      </w:r>
    </w:p>
    <w:p>
      <w:pPr>
        <w:pStyle w:val="Normal"/>
        <w:rPr/>
      </w:pPr>
      <w:r>
        <w:rPr/>
      </w:r>
    </w:p>
    <w:p>
      <w:pPr>
        <w:pStyle w:val="Normal"/>
        <w:rPr/>
      </w:pPr>
      <w:r>
        <w:rPr/>
      </w:r>
    </w:p>
    <w:p>
      <w:pPr>
        <w:pStyle w:val="Normal"/>
        <w:rPr/>
      </w:pPr>
      <w:r>
        <w:rPr>
          <w:rFonts w:cs="Arial" w:ascii="Arial" w:hAnsi="Arial"/>
        </w:rPr>
        <w:t xml:space="preserve">To date, Enron has relied in large part on brokers.  They have historically been the go to for both buyers and sellers as they have long histories in the business. Major environmental brokers we use include Cantor Fitzgerald, Evolution, Natsource and Prebon Energy.  In a typical ERC transaction the fee is equal to 7.5% split equally between both parties.   On a fairly typical $2 million deal this equates to $150,000 and $75,000 to Enron alone.  There is no way we could or would completely avoid using brokers.  However, it is very easy to see how a strong middle marketing effort in the ERC markets can pay for itself.  A more detailed breakdown of how this structure will look will be provided in the </w:t>
      </w:r>
      <w:r>
        <w:rPr>
          <w:rFonts w:cs="Arial" w:ascii="Arial" w:hAnsi="Arial"/>
          <w:highlight w:val="yellow"/>
        </w:rPr>
        <w:t>SXDX</w:t>
      </w:r>
      <w:r>
        <w:rPr>
          <w:rFonts w:cs="Arial" w:ascii="Arial" w:hAnsi="Arial"/>
        </w:rPr>
        <w:t xml:space="preserve"> section.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Initial benefits include:</w:t>
      </w:r>
    </w:p>
    <w:p>
      <w:pPr>
        <w:pStyle w:val="Normal"/>
        <w:rPr>
          <w:rFonts w:ascii="Arial" w:hAnsi="Arial" w:cs="Arial"/>
        </w:rPr>
      </w:pPr>
      <w:r>
        <w:rPr>
          <w:rFonts w:cs="Arial" w:ascii="Arial" w:hAnsi="Arial"/>
        </w:rPr>
      </w:r>
    </w:p>
    <w:p>
      <w:pPr>
        <w:pStyle w:val="Normal"/>
        <w:numPr>
          <w:ilvl w:val="0"/>
          <w:numId w:val="8"/>
        </w:numPr>
        <w:rPr>
          <w:rFonts w:ascii="Arial" w:hAnsi="Arial" w:cs="Arial"/>
        </w:rPr>
      </w:pPr>
      <w:r>
        <w:rPr>
          <w:rFonts w:cs="Arial" w:ascii="Arial" w:hAnsi="Arial"/>
        </w:rPr>
        <w:t xml:space="preserve">Avoidance of broker fees </w:t>
      </w:r>
    </w:p>
    <w:p>
      <w:pPr>
        <w:pStyle w:val="Normal"/>
        <w:numPr>
          <w:ilvl w:val="0"/>
          <w:numId w:val="8"/>
        </w:numPr>
        <w:rPr>
          <w:rFonts w:ascii="Arial" w:hAnsi="Arial" w:cs="Arial"/>
        </w:rPr>
      </w:pPr>
      <w:r>
        <w:rPr>
          <w:rFonts w:cs="Arial" w:ascii="Arial" w:hAnsi="Arial"/>
        </w:rPr>
        <w:t>Increased partner margins lead to increased Enron margin</w:t>
      </w:r>
    </w:p>
    <w:p>
      <w:pPr>
        <w:pStyle w:val="Normal"/>
        <w:numPr>
          <w:ilvl w:val="0"/>
          <w:numId w:val="8"/>
        </w:numPr>
        <w:rPr>
          <w:rFonts w:ascii="Arial" w:hAnsi="Arial" w:cs="Arial"/>
        </w:rPr>
      </w:pPr>
      <w:r>
        <w:rPr>
          <w:rFonts w:cs="Arial" w:ascii="Arial" w:hAnsi="Arial"/>
        </w:rPr>
        <w:t>Increased market share, knowledge and information in different ERC markets</w:t>
      </w:r>
    </w:p>
    <w:p>
      <w:pPr>
        <w:pStyle w:val="Normal"/>
        <w:numPr>
          <w:ilvl w:val="0"/>
          <w:numId w:val="8"/>
        </w:numPr>
        <w:rPr>
          <w:rFonts w:ascii="Arial" w:hAnsi="Arial" w:cs="Arial"/>
        </w:rPr>
      </w:pPr>
      <w:r>
        <w:rPr>
          <w:rFonts w:cs="Arial" w:ascii="Arial" w:hAnsi="Arial"/>
        </w:rPr>
        <w:t>Local source to push Enron Emissions products and services</w:t>
      </w:r>
    </w:p>
    <w:p>
      <w:pPr>
        <w:pStyle w:val="Normal"/>
        <w:ind w:start="720" w:end="0"/>
        <w:rPr>
          <w:rFonts w:ascii="Arial" w:hAnsi="Arial" w:eastAsia="Arial" w:cs="Arial"/>
        </w:rPr>
      </w:pPr>
      <w:r>
        <w:rPr>
          <w:rFonts w:eastAsia="Arial" w:cs="Arial" w:ascii="Arial" w:hAnsi="Arial"/>
        </w:rPr>
        <w:t xml:space="preserve"> </w:t>
      </w:r>
    </w:p>
    <w:p>
      <w:pPr>
        <w:pStyle w:val="Normal"/>
        <w:rPr>
          <w:rFonts w:ascii="Arial" w:hAnsi="Arial" w:cs="Arial"/>
        </w:rPr>
      </w:pPr>
      <w:r>
        <w:rPr>
          <w:rFonts w:cs="Arial" w:ascii="Arial" w:hAnsi="Arial"/>
        </w:rPr>
        <w:t>Potential pitfalls include:</w:t>
      </w:r>
    </w:p>
    <w:p>
      <w:pPr>
        <w:pStyle w:val="Normal"/>
        <w:numPr>
          <w:ilvl w:val="0"/>
          <w:numId w:val="4"/>
        </w:numPr>
        <w:rPr>
          <w:rFonts w:ascii="Arial" w:hAnsi="Arial" w:cs="Arial"/>
        </w:rPr>
      </w:pPr>
      <w:r>
        <w:rPr>
          <w:rFonts w:cs="Arial" w:ascii="Arial" w:hAnsi="Arial"/>
        </w:rPr>
        <w:t>No guarantee of success</w:t>
      </w:r>
    </w:p>
    <w:p>
      <w:pPr>
        <w:pStyle w:val="Normal"/>
        <w:numPr>
          <w:ilvl w:val="0"/>
          <w:numId w:val="4"/>
        </w:numPr>
        <w:ind w:hanging="720" w:start="1440" w:end="0"/>
        <w:rPr>
          <w:rFonts w:ascii="Arial" w:hAnsi="Arial" w:cs="Arial"/>
        </w:rPr>
      </w:pPr>
      <w:r>
        <w:rPr>
          <w:rFonts w:cs="Arial" w:ascii="Arial" w:hAnsi="Arial"/>
        </w:rPr>
        <w:t xml:space="preserve">Slow pace of transactions can lead to market dispersion </w:t>
      </w:r>
    </w:p>
    <w:p>
      <w:pPr>
        <w:pStyle w:val="Heading2"/>
        <w:ind w:hanging="0" w:start="0"/>
        <w:rPr>
          <w:rFonts w:ascii="Arial" w:hAnsi="Arial" w:cs="Arial"/>
          <w:b w:val="false"/>
          <w:bCs w:val="false"/>
          <w:color w:val="000000"/>
          <w:u w:val="none"/>
        </w:rPr>
      </w:pPr>
      <w:r>
        <w:rPr>
          <w:rFonts w:cs="Arial" w:ascii="Arial" w:hAnsi="Arial"/>
          <w:b w:val="false"/>
          <w:bCs w:val="false"/>
          <w:color w:val="000000"/>
          <w:u w:val="none"/>
        </w:rPr>
      </w:r>
    </w:p>
    <w:p>
      <w:pPr>
        <w:pStyle w:val="Heading2"/>
        <w:ind w:hanging="0" w:start="0"/>
        <w:rPr>
          <w:rFonts w:ascii="Arial" w:hAnsi="Arial" w:cs="Arial"/>
          <w:b w:val="false"/>
          <w:bCs w:val="false"/>
          <w:color w:val="000000"/>
        </w:rPr>
      </w:pPr>
      <w:r>
        <w:rPr>
          <w:rFonts w:cs="Arial" w:ascii="Arial" w:hAnsi="Arial"/>
          <w:b w:val="false"/>
          <w:bCs w:val="false"/>
          <w:color w:val="000000"/>
        </w:rPr>
        <w:t>Key Issues</w:t>
      </w:r>
    </w:p>
    <w:p>
      <w:pPr>
        <w:pStyle w:val="Heading2"/>
        <w:ind w:hanging="0" w:start="0"/>
        <w:rPr>
          <w:rFonts w:ascii="Arial" w:hAnsi="Arial" w:cs="Arial"/>
          <w:b w:val="false"/>
          <w:bCs w:val="false"/>
          <w:color w:val="000000"/>
          <w:u w:val="none"/>
        </w:rPr>
      </w:pPr>
      <w:r>
        <w:rPr>
          <w:rFonts w:cs="Arial" w:ascii="Arial" w:hAnsi="Arial"/>
          <w:b w:val="false"/>
          <w:bCs w:val="false"/>
          <w:color w:val="000000"/>
          <w:u w:val="none"/>
        </w:rPr>
        <w:t xml:space="preserve">Internal capital charges can diminish the value of ERCs as they have a relatively long carrying timeframe.  With Enron being charged at 7.5%, and with the potential of this to increase to 15%, this may be a real issue.  The long time horizon is exacerbated by the high degree of regulatory risk.  The local air boards are continuously pressured by major producers in the area to relax ambient air standards.  Thus far these overtures have been unsuccessful, but they are a very real risk.  Finally, it is very difficult, if not impossible to hedge a position.  The best one can do is build a portfolio based on solid due diligence, move in and out of positions as rapidly as is fiscally prudent and develop and enhance the network of buyers in the market.   </w:t>
      </w:r>
    </w:p>
    <w:p>
      <w:pPr>
        <w:pStyle w:val="Heading1"/>
        <w:ind w:hanging="0" w:start="0"/>
        <w:rPr>
          <w:rFonts w:ascii="Arial" w:hAnsi="Arial" w:cs="Arial"/>
          <w:b/>
          <w:bCs/>
          <w:color w:val="000000"/>
          <w:u w:val="none"/>
        </w:rPr>
      </w:pPr>
      <w:r>
        <w:rPr>
          <w:rFonts w:cs="Arial"/>
          <w:b/>
          <w:bCs/>
          <w:color w:val="000000"/>
          <w:u w:val="none"/>
        </w:rPr>
      </w:r>
    </w:p>
    <w:p>
      <w:pPr>
        <w:pStyle w:val="Heading1"/>
        <w:ind w:hanging="0" w:start="0"/>
        <w:rPr>
          <w:color w:val="000000"/>
        </w:rPr>
      </w:pPr>
      <w:r>
        <w:rPr>
          <w:color w:val="000000"/>
        </w:rPr>
        <w:t>Transaction Types</w:t>
      </w:r>
    </w:p>
    <w:p>
      <w:pPr>
        <w:pStyle w:val="Normal"/>
        <w:rPr>
          <w:rFonts w:ascii="Arial" w:hAnsi="Arial" w:cs="Arial"/>
          <w:b/>
          <w:bCs/>
          <w:color w:val="000000"/>
        </w:rPr>
      </w:pPr>
      <w:r>
        <w:rPr>
          <w:rFonts w:cs="Arial" w:ascii="Arial" w:hAnsi="Arial"/>
          <w:b/>
          <w:bCs/>
          <w:color w:val="000000"/>
        </w:rPr>
      </w:r>
    </w:p>
    <w:p>
      <w:pPr>
        <w:pStyle w:val="Normal"/>
        <w:numPr>
          <w:ilvl w:val="0"/>
          <w:numId w:val="6"/>
        </w:numPr>
        <w:rPr>
          <w:rFonts w:ascii="Arial" w:hAnsi="Arial" w:cs="Arial"/>
          <w:color w:val="000000"/>
        </w:rPr>
      </w:pPr>
      <w:r>
        <w:rPr>
          <w:rFonts w:cs="Arial" w:ascii="Arial" w:hAnsi="Arial"/>
          <w:color w:val="000000"/>
          <w:szCs w:val="18"/>
        </w:rPr>
        <w:t>Immediate Settlement Transactions</w:t>
      </w:r>
    </w:p>
    <w:p>
      <w:pPr>
        <w:pStyle w:val="Normal"/>
        <w:rPr>
          <w:rFonts w:ascii="Arial" w:hAnsi="Arial" w:cs="Arial"/>
          <w:color w:val="000000"/>
        </w:rPr>
      </w:pPr>
      <w:r>
        <w:rPr>
          <w:rFonts w:cs="Arial" w:ascii="Arial" w:hAnsi="Arial"/>
          <w:color w:val="000000"/>
        </w:rPr>
      </w:r>
    </w:p>
    <w:p>
      <w:pPr>
        <w:pStyle w:val="Heading1"/>
        <w:ind w:hanging="0" w:start="0"/>
        <w:rPr/>
      </w:pPr>
      <w:r>
        <w:rPr>
          <w:color w:val="000000"/>
        </w:rPr>
        <w:t xml:space="preserve">The Market- </w:t>
      </w:r>
      <w:r>
        <w:rPr>
          <w:i/>
          <w:iCs/>
          <w:color w:val="000000"/>
        </w:rPr>
        <w:t>DERCs</w:t>
      </w:r>
    </w:p>
    <w:p>
      <w:pPr>
        <w:pStyle w:val="plain"/>
        <w:rPr>
          <w:sz w:val="24"/>
        </w:rPr>
      </w:pPr>
      <w:r>
        <w:rPr>
          <w:sz w:val="24"/>
        </w:rPr>
        <w:t xml:space="preserve">Discrete Emission Reductions Credits (DERCs) are granted under a state Open Market Trading System. A DERC is a discrete ton of emissions reduction, generated by a reduction strategy that is not necessarily permanent. Similar to allowances, DERCs are awarded to emission sources that voluntarily reduce their emissions below their permitted limits. DERCs can be generated for reductions of NOx, VOC, CO, SO2 and PM 10.  DERC markets are state-specific in nature, although the programs tend to be similar in design. </w:t>
      </w:r>
    </w:p>
    <w:p>
      <w:pPr>
        <w:pStyle w:val="Heading1"/>
        <w:ind w:hanging="0" w:start="0"/>
        <w:rPr>
          <w:color w:val="000000"/>
        </w:rPr>
      </w:pPr>
      <w:r>
        <w:rPr>
          <w:color w:val="000000"/>
        </w:rPr>
        <w:t>Transaction Types</w:t>
      </w:r>
    </w:p>
    <w:p>
      <w:pPr>
        <w:pStyle w:val="Normal"/>
        <w:rPr>
          <w:rFonts w:ascii="Arial" w:hAnsi="Arial" w:cs="Arial"/>
          <w:b/>
          <w:bCs/>
          <w:color w:val="000000"/>
        </w:rPr>
      </w:pPr>
      <w:r>
        <w:rPr>
          <w:rFonts w:cs="Arial" w:ascii="Arial" w:hAnsi="Arial"/>
          <w:b/>
          <w:bCs/>
          <w:color w:val="000000"/>
        </w:rPr>
      </w:r>
    </w:p>
    <w:p>
      <w:pPr>
        <w:pStyle w:val="Normal"/>
        <w:numPr>
          <w:ilvl w:val="0"/>
          <w:numId w:val="6"/>
        </w:numPr>
        <w:rPr>
          <w:rFonts w:ascii="Arial" w:hAnsi="Arial" w:cs="Arial"/>
          <w:color w:val="000000"/>
        </w:rPr>
      </w:pPr>
      <w:r>
        <w:rPr>
          <w:rFonts w:cs="Arial" w:ascii="Arial" w:hAnsi="Arial"/>
          <w:color w:val="000000"/>
          <w:szCs w:val="18"/>
        </w:rPr>
        <w:t>Immediate Settlement Transactions</w:t>
      </w:r>
    </w:p>
    <w:p>
      <w:pPr>
        <w:pStyle w:val="Normal"/>
        <w:rPr>
          <w:rFonts w:ascii="Arial" w:hAnsi="Arial" w:cs="Arial"/>
          <w:color w:val="000000"/>
        </w:rPr>
      </w:pPr>
      <w:r>
        <w:rPr>
          <w:rFonts w:cs="Arial" w:ascii="Arial" w:hAnsi="Arial"/>
          <w:color w:val="000000"/>
        </w:rPr>
      </w:r>
    </w:p>
    <w:p>
      <w:pPr>
        <w:pStyle w:val="Heading5"/>
        <w:ind w:hanging="0" w:start="0"/>
        <w:rPr/>
      </w:pPr>
      <w:r>
        <w:rPr/>
        <w:t>The Strategy</w:t>
      </w:r>
    </w:p>
    <w:p>
      <w:pPr>
        <w:pStyle w:val="BodyText2"/>
        <w:rPr/>
      </w:pPr>
      <w:r>
        <w:rPr/>
        <w:t xml:space="preserve">DERCs will be part of the ERC/Non-Attainment strategy.  Due to the market overlap the strategy will be virtually identical.  DERC programs are more limited than ERCs, but still offer upside opportunities.  </w:t>
      </w:r>
    </w:p>
    <w:p>
      <w:pPr>
        <w:pStyle w:val="BodyText2"/>
        <w:rPr/>
      </w:pPr>
      <w:r>
        <w:rPr/>
      </w:r>
    </w:p>
    <w:p>
      <w:pPr>
        <w:pStyle w:val="Heading2"/>
        <w:ind w:hanging="0" w:start="0"/>
        <w:rPr/>
      </w:pPr>
      <w:r>
        <w:rPr/>
        <w:t xml:space="preserve"> </w:t>
      </w:r>
      <w:r>
        <w:rPr>
          <w:rFonts w:cs="Arial" w:ascii="Arial" w:hAnsi="Arial"/>
          <w:b w:val="false"/>
          <w:bCs w:val="false"/>
          <w:color w:val="000000"/>
        </w:rPr>
        <w:t>Key Issues</w:t>
      </w:r>
    </w:p>
    <w:p>
      <w:pPr>
        <w:pStyle w:val="BodyText2"/>
        <w:rPr/>
      </w:pPr>
      <w:r>
        <w:rPr/>
        <w:t xml:space="preserve">The issues are the same as those of the ERCs.  </w:t>
      </w:r>
    </w:p>
    <w:p>
      <w:pPr>
        <w:pStyle w:val="BodyText2"/>
        <w:rPr/>
      </w:pPr>
      <w:r>
        <w:rPr/>
      </w:r>
    </w:p>
    <w:p>
      <w:pPr>
        <w:pStyle w:val="BodyText2"/>
        <w:rPr/>
      </w:pPr>
      <w:r>
        <w:rPr/>
      </w:r>
    </w:p>
    <w:p>
      <w:pPr>
        <w:pStyle w:val="Heading5"/>
        <w:ind w:hanging="0" w:start="0"/>
        <w:rPr/>
      </w:pPr>
      <w:r>
        <w:rPr/>
        <w:t xml:space="preserve">Mobile Emission Reduction Credits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Heading5"/>
        <w:ind w:hanging="0" w:start="0"/>
        <w:rPr/>
      </w:pPr>
      <w:r>
        <w:rPr/>
        <w:t>ZEV-LEV Credits</w:t>
      </w:r>
    </w:p>
    <w:p>
      <w:pPr>
        <w:pStyle w:val="Normal"/>
        <w:rPr>
          <w:rFonts w:ascii="Arial" w:hAnsi="Arial" w:cs="Arial"/>
          <w:color w:val="000000"/>
        </w:rPr>
      </w:pPr>
      <w:r>
        <w:rPr>
          <w:rFonts w:cs="Arial" w:ascii="Arial" w:hAnsi="Arial"/>
          <w:color w:val="000000"/>
        </w:rPr>
      </w:r>
    </w:p>
    <w:p>
      <w:pPr>
        <w:pStyle w:val="Heading3"/>
        <w:ind w:hanging="0" w:start="0"/>
        <w:rPr>
          <w:color w:val="000000"/>
        </w:rPr>
      </w:pPr>
      <w:r>
        <w:rPr>
          <w:color w:val="000000"/>
        </w:rPr>
        <w:t>Market</w:t>
      </w:r>
    </w:p>
    <w:p>
      <w:pPr>
        <w:pStyle w:val="Normal"/>
        <w:rPr>
          <w:rFonts w:ascii="Arial" w:hAnsi="Arial" w:cs="Arial"/>
          <w:color w:val="000000"/>
        </w:rPr>
      </w:pPr>
      <w:r>
        <w:rPr>
          <w:rFonts w:cs="Arial" w:ascii="Arial" w:hAnsi="Arial"/>
          <w:color w:val="000000"/>
        </w:rPr>
      </w:r>
    </w:p>
    <w:p>
      <w:pPr>
        <w:pStyle w:val="BodyText"/>
        <w:rPr>
          <w:rFonts w:ascii="Arial" w:hAnsi="Arial" w:cs="Arial"/>
          <w:color w:val="000000"/>
        </w:rPr>
      </w:pPr>
      <w:r>
        <w:rPr>
          <w:rFonts w:cs="Arial" w:ascii="Arial" w:hAnsi="Arial"/>
          <w:color w:val="000000"/>
        </w:rPr>
        <w:t xml:space="preserve">The California Air Resources Board (CARB) is the first air board to officially begin a Zero Emission Vehicle program.  The program will begin in 2003 and New York, Massachusetts, Maine and Vermont are in the process of adopting similar programs.  As of now, there is no inclination that trading will be allowed interstate. In the California plan vehicle manufacturers can earn credits for selling Zero Emission Vehicles (ZEV), this also includes Neighborhood Electric Vehicles (NEV), or partial zero emission vehicles (PZEV) in the state.  ZEV credits are produced from zero emission vehicles such as the neighborhood electric vehicle or electric vehicles.  PZEV credits are partially emitting vehicles produced from hybrid vehicles, which are part gas and part electric.  </w:t>
      </w:r>
    </w:p>
    <w:p>
      <w:pPr>
        <w:pStyle w:val="BodyText"/>
        <w:rPr>
          <w:rFonts w:ascii="Arial" w:hAnsi="Arial" w:cs="Arial"/>
          <w:color w:val="000000"/>
        </w:rPr>
      </w:pPr>
      <w:r>
        <w:rPr>
          <w:rFonts w:cs="Arial" w:ascii="Arial" w:hAnsi="Arial"/>
          <w:color w:val="000000"/>
        </w:rPr>
      </w:r>
    </w:p>
    <w:p>
      <w:pPr>
        <w:pStyle w:val="BodyText"/>
        <w:rPr>
          <w:rFonts w:ascii="Arial" w:hAnsi="Arial" w:cs="Arial"/>
          <w:color w:val="000000"/>
        </w:rPr>
      </w:pPr>
      <w:r>
        <w:rPr>
          <w:rFonts w:cs="Arial" w:ascii="Arial" w:hAnsi="Arial"/>
          <w:color w:val="000000"/>
        </w:rPr>
        <w:t xml:space="preserve">Large and intermediate manufacturers must meet similar requirements.  In California, they are both required to have credits equal to 10% of their California sales.  However, intermediate manufacturers, which sell between 10,000 – 60,000 vehicles in California annually, can fulfill their 10% requirement with all PZEV credits or any combination of PZEV and ZEV credits.  Large manufacturers, which sell over 60,000 vehicles into California annually, are required to have at least 2%-4% of the 10% in ZEV credits.  Once compliance is met both can sell their credits to other manufacturers.  Small manufacturers have no requirements, but they can earn credits.  </w:t>
      </w:r>
    </w:p>
    <w:p>
      <w:pPr>
        <w:pStyle w:val="BodyText"/>
        <w:rPr>
          <w:rFonts w:ascii="Arial" w:hAnsi="Arial" w:cs="Arial"/>
          <w:color w:val="000000"/>
        </w:rPr>
      </w:pPr>
      <w:r>
        <w:rPr>
          <w:rFonts w:cs="Arial" w:ascii="Arial" w:hAnsi="Arial"/>
          <w:color w:val="000000"/>
        </w:rPr>
      </w:r>
    </w:p>
    <w:p>
      <w:pPr>
        <w:pStyle w:val="BodyText"/>
        <w:rPr/>
      </w:pPr>
      <w:r>
        <w:rPr>
          <w:rFonts w:cs="Arial" w:ascii="Arial" w:hAnsi="Arial"/>
          <w:color w:val="000000"/>
        </w:rPr>
        <w:t xml:space="preserve">The program allows market forces to dictate prices up to a $5,000 fine for each credit that a manufacturer is short.  The trading program starts in January of 2003, but manufacturers are given until </w:t>
      </w:r>
      <w:r>
        <w:rPr>
          <w:rFonts w:cs="Arial" w:ascii="Arial" w:hAnsi="Arial"/>
          <w:color w:val="000000"/>
          <w:highlight w:val="yellow"/>
        </w:rPr>
        <w:t>XXXXDATEXX</w:t>
      </w:r>
      <w:r>
        <w:rPr>
          <w:rFonts w:cs="Arial" w:ascii="Arial" w:hAnsi="Arial"/>
          <w:color w:val="000000"/>
        </w:rPr>
        <w:t xml:space="preserve">  2004 to get into compliance.  The program has declining multipliers in order to create more liquidity in the front years.  Vehicles earn multiple credits depending on the type of vehicle and the year sold.  </w:t>
      </w:r>
    </w:p>
    <w:p>
      <w:pPr>
        <w:pStyle w:val="Normal"/>
        <w:rPr>
          <w:rFonts w:ascii="Arial" w:hAnsi="Arial" w:cs="Arial"/>
          <w:color w:val="000000"/>
        </w:rPr>
      </w:pPr>
      <w:r>
        <w:rPr>
          <w:rFonts w:cs="Arial" w:ascii="Arial" w:hAnsi="Arial"/>
          <w:color w:val="000000"/>
        </w:rPr>
      </w:r>
    </w:p>
    <w:p>
      <w:pPr>
        <w:pStyle w:val="Heading5"/>
        <w:ind w:hanging="0" w:start="0"/>
        <w:rPr/>
      </w:pPr>
      <w:r>
        <w:rPr/>
        <w:t>Multipliers</w:t>
      </w:r>
    </w:p>
    <w:p>
      <w:pPr>
        <w:pStyle w:val="Normal"/>
        <w:rPr>
          <w:rFonts w:ascii="Arial" w:hAnsi="Arial" w:cs="Arial"/>
          <w:color w:val="000000"/>
          <w:u w:val="single"/>
        </w:rPr>
      </w:pPr>
      <w:r>
        <w:rPr>
          <w:rFonts w:cs="Arial" w:ascii="Arial" w:hAnsi="Arial"/>
          <w:color w:val="000000"/>
          <w:u w:val="single"/>
        </w:rPr>
      </w:r>
    </w:p>
    <w:tbl>
      <w:tblPr>
        <w:tblW w:w="8856" w:type="dxa"/>
        <w:jc w:val="start"/>
        <w:tblInd w:w="0" w:type="dxa"/>
        <w:tblLayout w:type="fixed"/>
        <w:tblCellMar>
          <w:top w:w="0" w:type="dxa"/>
          <w:start w:w="108" w:type="dxa"/>
          <w:bottom w:w="0" w:type="dxa"/>
          <w:end w:w="108" w:type="dxa"/>
        </w:tblCellMar>
      </w:tblPr>
      <w:tblGrid>
        <w:gridCol w:w="1476"/>
        <w:gridCol w:w="1476"/>
        <w:gridCol w:w="1476"/>
        <w:gridCol w:w="1476"/>
        <w:gridCol w:w="1476"/>
        <w:gridCol w:w="1476"/>
      </w:tblGrid>
      <w:tr>
        <w:trPr/>
        <w:tc>
          <w:tcPr>
            <w:tcW w:w="1476" w:type="dxa"/>
            <w:tcBorders>
              <w:top w:val="single" w:sz="4" w:space="0" w:color="000000"/>
              <w:start w:val="single" w:sz="4" w:space="0" w:color="000000"/>
              <w:bottom w:val="single" w:sz="4" w:space="0" w:color="000000"/>
              <w:end w:val="single" w:sz="4" w:space="0" w:color="000000"/>
            </w:tcBorders>
          </w:tcPr>
          <w:p>
            <w:pPr>
              <w:pStyle w:val="BodyText"/>
              <w:snapToGrid w:val="false"/>
              <w:rPr>
                <w:rFonts w:ascii="Arial" w:hAnsi="Arial" w:cs="Arial"/>
                <w:color w:val="000000"/>
              </w:rPr>
            </w:pPr>
            <w:r>
              <w:rPr>
                <w:rFonts w:cs="Arial" w:ascii="Arial" w:hAnsi="Arial"/>
                <w:color w:val="000000"/>
              </w:rPr>
            </w:r>
          </w:p>
        </w:tc>
        <w:tc>
          <w:tcPr>
            <w:tcW w:w="1476" w:type="dxa"/>
            <w:tcBorders>
              <w:top w:val="single" w:sz="4" w:space="0" w:color="000000"/>
              <w:start w:val="single" w:sz="4" w:space="0" w:color="000000"/>
              <w:bottom w:val="single" w:sz="4" w:space="0" w:color="000000"/>
              <w:end w:val="single" w:sz="4" w:space="0" w:color="000000"/>
            </w:tcBorders>
          </w:tcPr>
          <w:p>
            <w:pPr>
              <w:pStyle w:val="BodyText"/>
              <w:rPr>
                <w:rFonts w:ascii="Arial" w:hAnsi="Arial" w:cs="Arial"/>
                <w:color w:val="000000"/>
              </w:rPr>
            </w:pPr>
            <w:r>
              <w:rPr>
                <w:rFonts w:cs="Arial" w:ascii="Arial" w:hAnsi="Arial"/>
                <w:color w:val="000000"/>
              </w:rPr>
              <w:t>2001-2002</w:t>
            </w:r>
          </w:p>
        </w:tc>
        <w:tc>
          <w:tcPr>
            <w:tcW w:w="1476" w:type="dxa"/>
            <w:tcBorders>
              <w:top w:val="single" w:sz="4" w:space="0" w:color="000000"/>
              <w:start w:val="single" w:sz="4" w:space="0" w:color="000000"/>
              <w:bottom w:val="single" w:sz="4" w:space="0" w:color="000000"/>
              <w:end w:val="single" w:sz="4" w:space="0" w:color="000000"/>
            </w:tcBorders>
          </w:tcPr>
          <w:p>
            <w:pPr>
              <w:pStyle w:val="BodyText"/>
              <w:rPr>
                <w:rFonts w:ascii="Arial" w:hAnsi="Arial" w:cs="Arial"/>
                <w:color w:val="000000"/>
              </w:rPr>
            </w:pPr>
            <w:r>
              <w:rPr>
                <w:rFonts w:cs="Arial" w:ascii="Arial" w:hAnsi="Arial"/>
                <w:color w:val="000000"/>
              </w:rPr>
              <w:t>2003</w:t>
            </w:r>
          </w:p>
        </w:tc>
        <w:tc>
          <w:tcPr>
            <w:tcW w:w="1476" w:type="dxa"/>
            <w:tcBorders>
              <w:top w:val="single" w:sz="4" w:space="0" w:color="000000"/>
              <w:start w:val="single" w:sz="4" w:space="0" w:color="000000"/>
              <w:bottom w:val="single" w:sz="4" w:space="0" w:color="000000"/>
              <w:end w:val="single" w:sz="4" w:space="0" w:color="000000"/>
            </w:tcBorders>
          </w:tcPr>
          <w:p>
            <w:pPr>
              <w:pStyle w:val="BodyText"/>
              <w:rPr>
                <w:rFonts w:ascii="Arial" w:hAnsi="Arial" w:cs="Arial"/>
                <w:color w:val="000000"/>
              </w:rPr>
            </w:pPr>
            <w:r>
              <w:rPr>
                <w:rFonts w:cs="Arial" w:ascii="Arial" w:hAnsi="Arial"/>
                <w:color w:val="000000"/>
              </w:rPr>
              <w:t>2004</w:t>
            </w:r>
          </w:p>
        </w:tc>
        <w:tc>
          <w:tcPr>
            <w:tcW w:w="1476" w:type="dxa"/>
            <w:tcBorders>
              <w:top w:val="single" w:sz="4" w:space="0" w:color="000000"/>
              <w:start w:val="single" w:sz="4" w:space="0" w:color="000000"/>
              <w:bottom w:val="single" w:sz="4" w:space="0" w:color="000000"/>
              <w:end w:val="single" w:sz="4" w:space="0" w:color="000000"/>
            </w:tcBorders>
          </w:tcPr>
          <w:p>
            <w:pPr>
              <w:pStyle w:val="BodyText"/>
              <w:rPr>
                <w:rFonts w:ascii="Arial" w:hAnsi="Arial" w:cs="Arial"/>
                <w:color w:val="000000"/>
              </w:rPr>
            </w:pPr>
            <w:r>
              <w:rPr>
                <w:rFonts w:cs="Arial" w:ascii="Arial" w:hAnsi="Arial"/>
                <w:color w:val="000000"/>
              </w:rPr>
              <w:t>2005</w:t>
            </w:r>
          </w:p>
        </w:tc>
        <w:tc>
          <w:tcPr>
            <w:tcW w:w="1476" w:type="dxa"/>
            <w:tcBorders>
              <w:top w:val="single" w:sz="4" w:space="0" w:color="000000"/>
              <w:start w:val="single" w:sz="4" w:space="0" w:color="000000"/>
              <w:bottom w:val="single" w:sz="4" w:space="0" w:color="000000"/>
              <w:end w:val="single" w:sz="4" w:space="0" w:color="000000"/>
            </w:tcBorders>
          </w:tcPr>
          <w:p>
            <w:pPr>
              <w:pStyle w:val="BodyText"/>
              <w:rPr>
                <w:rFonts w:ascii="Arial" w:hAnsi="Arial" w:cs="Arial"/>
                <w:color w:val="000000"/>
              </w:rPr>
            </w:pPr>
            <w:r>
              <w:rPr>
                <w:rFonts w:cs="Arial" w:ascii="Arial" w:hAnsi="Arial"/>
                <w:color w:val="000000"/>
              </w:rPr>
              <w:t>2006</w:t>
            </w:r>
          </w:p>
        </w:tc>
      </w:tr>
      <w:tr>
        <w:trPr/>
        <w:tc>
          <w:tcPr>
            <w:tcW w:w="1476" w:type="dxa"/>
            <w:tcBorders>
              <w:top w:val="single" w:sz="4" w:space="0" w:color="000000"/>
              <w:start w:val="single" w:sz="4" w:space="0" w:color="000000"/>
              <w:bottom w:val="single" w:sz="4" w:space="0" w:color="000000"/>
              <w:end w:val="single" w:sz="4" w:space="0" w:color="000000"/>
            </w:tcBorders>
          </w:tcPr>
          <w:p>
            <w:pPr>
              <w:pStyle w:val="BodyText"/>
              <w:rPr>
                <w:rFonts w:ascii="Arial" w:hAnsi="Arial" w:cs="Arial"/>
                <w:color w:val="000000"/>
              </w:rPr>
            </w:pPr>
            <w:r>
              <w:rPr>
                <w:rFonts w:cs="Arial" w:ascii="Arial" w:hAnsi="Arial"/>
                <w:color w:val="000000"/>
              </w:rPr>
              <w:t>PZEV</w:t>
            </w:r>
          </w:p>
        </w:tc>
        <w:tc>
          <w:tcPr>
            <w:tcW w:w="1476" w:type="dxa"/>
            <w:tcBorders>
              <w:top w:val="single" w:sz="4" w:space="0" w:color="000000"/>
              <w:start w:val="single" w:sz="4" w:space="0" w:color="000000"/>
              <w:bottom w:val="single" w:sz="4" w:space="0" w:color="000000"/>
              <w:end w:val="single" w:sz="4" w:space="0" w:color="000000"/>
            </w:tcBorders>
          </w:tcPr>
          <w:p>
            <w:pPr>
              <w:pStyle w:val="BodyText"/>
              <w:rPr>
                <w:rFonts w:ascii="Arial" w:hAnsi="Arial" w:cs="Arial"/>
                <w:color w:val="000000"/>
              </w:rPr>
            </w:pPr>
            <w:r>
              <w:rPr>
                <w:rFonts w:cs="Arial" w:ascii="Arial" w:hAnsi="Arial"/>
                <w:color w:val="000000"/>
              </w:rPr>
              <w:t>4.0</w:t>
            </w:r>
          </w:p>
        </w:tc>
        <w:tc>
          <w:tcPr>
            <w:tcW w:w="1476" w:type="dxa"/>
            <w:tcBorders>
              <w:top w:val="single" w:sz="4" w:space="0" w:color="000000"/>
              <w:start w:val="single" w:sz="4" w:space="0" w:color="000000"/>
              <w:bottom w:val="single" w:sz="4" w:space="0" w:color="000000"/>
              <w:end w:val="single" w:sz="4" w:space="0" w:color="000000"/>
            </w:tcBorders>
          </w:tcPr>
          <w:p>
            <w:pPr>
              <w:pStyle w:val="BodyText"/>
              <w:rPr>
                <w:rFonts w:ascii="Arial" w:hAnsi="Arial" w:cs="Arial"/>
                <w:color w:val="000000"/>
              </w:rPr>
            </w:pPr>
            <w:r>
              <w:rPr>
                <w:rFonts w:cs="Arial" w:ascii="Arial" w:hAnsi="Arial"/>
                <w:color w:val="000000"/>
              </w:rPr>
              <w:t>4.0</w:t>
            </w:r>
          </w:p>
        </w:tc>
        <w:tc>
          <w:tcPr>
            <w:tcW w:w="1476" w:type="dxa"/>
            <w:tcBorders>
              <w:top w:val="single" w:sz="4" w:space="0" w:color="000000"/>
              <w:start w:val="single" w:sz="4" w:space="0" w:color="000000"/>
              <w:bottom w:val="single" w:sz="4" w:space="0" w:color="000000"/>
              <w:end w:val="single" w:sz="4" w:space="0" w:color="000000"/>
            </w:tcBorders>
          </w:tcPr>
          <w:p>
            <w:pPr>
              <w:pStyle w:val="BodyText"/>
              <w:rPr>
                <w:rFonts w:ascii="Arial" w:hAnsi="Arial" w:cs="Arial"/>
                <w:color w:val="000000"/>
              </w:rPr>
            </w:pPr>
            <w:r>
              <w:rPr>
                <w:rFonts w:cs="Arial" w:ascii="Arial" w:hAnsi="Arial"/>
                <w:color w:val="000000"/>
              </w:rPr>
              <w:t>2.0</w:t>
            </w:r>
          </w:p>
        </w:tc>
        <w:tc>
          <w:tcPr>
            <w:tcW w:w="1476" w:type="dxa"/>
            <w:tcBorders>
              <w:top w:val="single" w:sz="4" w:space="0" w:color="000000"/>
              <w:start w:val="single" w:sz="4" w:space="0" w:color="000000"/>
              <w:bottom w:val="single" w:sz="4" w:space="0" w:color="000000"/>
              <w:end w:val="single" w:sz="4" w:space="0" w:color="000000"/>
            </w:tcBorders>
          </w:tcPr>
          <w:p>
            <w:pPr>
              <w:pStyle w:val="BodyText"/>
              <w:rPr>
                <w:rFonts w:ascii="Arial" w:hAnsi="Arial" w:cs="Arial"/>
                <w:color w:val="000000"/>
              </w:rPr>
            </w:pPr>
            <w:r>
              <w:rPr>
                <w:rFonts w:cs="Arial" w:ascii="Arial" w:hAnsi="Arial"/>
                <w:color w:val="000000"/>
              </w:rPr>
              <w:t>1.33</w:t>
            </w:r>
          </w:p>
        </w:tc>
        <w:tc>
          <w:tcPr>
            <w:tcW w:w="1476" w:type="dxa"/>
            <w:tcBorders>
              <w:top w:val="single" w:sz="4" w:space="0" w:color="000000"/>
              <w:start w:val="single" w:sz="4" w:space="0" w:color="000000"/>
              <w:bottom w:val="single" w:sz="4" w:space="0" w:color="000000"/>
              <w:end w:val="single" w:sz="4" w:space="0" w:color="000000"/>
            </w:tcBorders>
          </w:tcPr>
          <w:p>
            <w:pPr>
              <w:pStyle w:val="BodyText"/>
              <w:rPr>
                <w:rFonts w:ascii="Arial" w:hAnsi="Arial" w:cs="Arial"/>
                <w:color w:val="000000"/>
              </w:rPr>
            </w:pPr>
            <w:r>
              <w:rPr>
                <w:rFonts w:cs="Arial" w:ascii="Arial" w:hAnsi="Arial"/>
                <w:color w:val="000000"/>
              </w:rPr>
              <w:t>1.0</w:t>
            </w:r>
          </w:p>
        </w:tc>
      </w:tr>
      <w:tr>
        <w:trPr/>
        <w:tc>
          <w:tcPr>
            <w:tcW w:w="1476" w:type="dxa"/>
            <w:tcBorders>
              <w:top w:val="single" w:sz="4" w:space="0" w:color="000000"/>
              <w:start w:val="single" w:sz="4" w:space="0" w:color="000000"/>
              <w:bottom w:val="single" w:sz="4" w:space="0" w:color="000000"/>
              <w:end w:val="single" w:sz="4" w:space="0" w:color="000000"/>
            </w:tcBorders>
          </w:tcPr>
          <w:p>
            <w:pPr>
              <w:pStyle w:val="BodyText"/>
              <w:rPr>
                <w:rFonts w:ascii="Arial" w:hAnsi="Arial" w:cs="Arial"/>
                <w:color w:val="000000"/>
              </w:rPr>
            </w:pPr>
            <w:r>
              <w:rPr>
                <w:rFonts w:cs="Arial" w:ascii="Arial" w:hAnsi="Arial"/>
                <w:color w:val="000000"/>
              </w:rPr>
              <w:t>ZEV</w:t>
            </w:r>
          </w:p>
        </w:tc>
        <w:tc>
          <w:tcPr>
            <w:tcW w:w="1476" w:type="dxa"/>
            <w:tcBorders>
              <w:top w:val="single" w:sz="4" w:space="0" w:color="000000"/>
              <w:start w:val="single" w:sz="4" w:space="0" w:color="000000"/>
              <w:bottom w:val="single" w:sz="4" w:space="0" w:color="000000"/>
              <w:end w:val="single" w:sz="4" w:space="0" w:color="000000"/>
            </w:tcBorders>
          </w:tcPr>
          <w:p>
            <w:pPr>
              <w:pStyle w:val="BodyText"/>
              <w:rPr>
                <w:rFonts w:ascii="Arial" w:hAnsi="Arial" w:cs="Arial"/>
                <w:color w:val="000000"/>
              </w:rPr>
            </w:pPr>
            <w:r>
              <w:rPr>
                <w:rFonts w:cs="Arial" w:ascii="Arial" w:hAnsi="Arial"/>
                <w:color w:val="000000"/>
              </w:rPr>
              <w:t>4.0</w:t>
            </w:r>
          </w:p>
        </w:tc>
        <w:tc>
          <w:tcPr>
            <w:tcW w:w="1476" w:type="dxa"/>
            <w:tcBorders>
              <w:top w:val="single" w:sz="4" w:space="0" w:color="000000"/>
              <w:start w:val="single" w:sz="4" w:space="0" w:color="000000"/>
              <w:bottom w:val="single" w:sz="4" w:space="0" w:color="000000"/>
              <w:end w:val="single" w:sz="4" w:space="0" w:color="000000"/>
            </w:tcBorders>
          </w:tcPr>
          <w:p>
            <w:pPr>
              <w:pStyle w:val="BodyText"/>
              <w:rPr>
                <w:rFonts w:ascii="Arial" w:hAnsi="Arial" w:cs="Arial"/>
                <w:color w:val="000000"/>
              </w:rPr>
            </w:pPr>
            <w:r>
              <w:rPr>
                <w:rFonts w:cs="Arial" w:ascii="Arial" w:hAnsi="Arial"/>
                <w:color w:val="000000"/>
              </w:rPr>
              <w:t>1.25</w:t>
            </w:r>
          </w:p>
        </w:tc>
        <w:tc>
          <w:tcPr>
            <w:tcW w:w="1476" w:type="dxa"/>
            <w:tcBorders>
              <w:top w:val="single" w:sz="4" w:space="0" w:color="000000"/>
              <w:start w:val="single" w:sz="4" w:space="0" w:color="000000"/>
              <w:bottom w:val="single" w:sz="4" w:space="0" w:color="000000"/>
              <w:end w:val="single" w:sz="4" w:space="0" w:color="000000"/>
            </w:tcBorders>
          </w:tcPr>
          <w:p>
            <w:pPr>
              <w:pStyle w:val="BodyText"/>
              <w:rPr>
                <w:rFonts w:ascii="Arial" w:hAnsi="Arial" w:cs="Arial"/>
                <w:color w:val="000000"/>
              </w:rPr>
            </w:pPr>
            <w:r>
              <w:rPr>
                <w:rFonts w:cs="Arial" w:ascii="Arial" w:hAnsi="Arial"/>
                <w:color w:val="000000"/>
              </w:rPr>
              <w:t>1.25</w:t>
            </w:r>
          </w:p>
        </w:tc>
        <w:tc>
          <w:tcPr>
            <w:tcW w:w="1476" w:type="dxa"/>
            <w:tcBorders>
              <w:top w:val="single" w:sz="4" w:space="0" w:color="000000"/>
              <w:start w:val="single" w:sz="4" w:space="0" w:color="000000"/>
              <w:bottom w:val="single" w:sz="4" w:space="0" w:color="000000"/>
              <w:end w:val="single" w:sz="4" w:space="0" w:color="000000"/>
            </w:tcBorders>
          </w:tcPr>
          <w:p>
            <w:pPr>
              <w:pStyle w:val="BodyText"/>
              <w:rPr>
                <w:rFonts w:ascii="Arial" w:hAnsi="Arial" w:cs="Arial"/>
                <w:color w:val="000000"/>
              </w:rPr>
            </w:pPr>
            <w:r>
              <w:rPr>
                <w:rFonts w:cs="Arial" w:ascii="Arial" w:hAnsi="Arial"/>
                <w:color w:val="000000"/>
              </w:rPr>
              <w:t>1.25</w:t>
            </w:r>
          </w:p>
        </w:tc>
        <w:tc>
          <w:tcPr>
            <w:tcW w:w="1476" w:type="dxa"/>
            <w:tcBorders>
              <w:top w:val="single" w:sz="4" w:space="0" w:color="000000"/>
              <w:start w:val="single" w:sz="4" w:space="0" w:color="000000"/>
              <w:bottom w:val="single" w:sz="4" w:space="0" w:color="000000"/>
              <w:end w:val="single" w:sz="4" w:space="0" w:color="000000"/>
            </w:tcBorders>
          </w:tcPr>
          <w:p>
            <w:pPr>
              <w:pStyle w:val="BodyText"/>
              <w:rPr>
                <w:rFonts w:ascii="Arial" w:hAnsi="Arial" w:cs="Arial"/>
                <w:color w:val="000000"/>
              </w:rPr>
            </w:pPr>
            <w:r>
              <w:rPr>
                <w:rFonts w:cs="Arial" w:ascii="Arial" w:hAnsi="Arial"/>
                <w:color w:val="000000"/>
              </w:rPr>
              <w:t>1.0</w:t>
            </w:r>
          </w:p>
        </w:tc>
      </w:tr>
      <w:tr>
        <w:trPr/>
        <w:tc>
          <w:tcPr>
            <w:tcW w:w="1476" w:type="dxa"/>
            <w:tcBorders>
              <w:top w:val="single" w:sz="4" w:space="0" w:color="000000"/>
              <w:start w:val="single" w:sz="4" w:space="0" w:color="000000"/>
              <w:bottom w:val="single" w:sz="4" w:space="0" w:color="000000"/>
              <w:end w:val="single" w:sz="4" w:space="0" w:color="000000"/>
            </w:tcBorders>
          </w:tcPr>
          <w:p>
            <w:pPr>
              <w:pStyle w:val="BodyText"/>
              <w:rPr>
                <w:rFonts w:ascii="Arial" w:hAnsi="Arial" w:cs="Arial"/>
                <w:color w:val="000000"/>
              </w:rPr>
            </w:pPr>
            <w:r>
              <w:rPr>
                <w:rFonts w:cs="Arial" w:ascii="Arial" w:hAnsi="Arial"/>
                <w:color w:val="000000"/>
              </w:rPr>
              <w:t xml:space="preserve">NEV </w:t>
            </w:r>
          </w:p>
        </w:tc>
        <w:tc>
          <w:tcPr>
            <w:tcW w:w="1476" w:type="dxa"/>
            <w:tcBorders>
              <w:top w:val="single" w:sz="4" w:space="0" w:color="000000"/>
              <w:start w:val="single" w:sz="4" w:space="0" w:color="000000"/>
              <w:bottom w:val="single" w:sz="4" w:space="0" w:color="000000"/>
              <w:end w:val="single" w:sz="4" w:space="0" w:color="000000"/>
            </w:tcBorders>
          </w:tcPr>
          <w:p>
            <w:pPr>
              <w:pStyle w:val="BodyText"/>
              <w:rPr>
                <w:rFonts w:ascii="Arial" w:hAnsi="Arial" w:cs="Arial"/>
                <w:color w:val="000000"/>
              </w:rPr>
            </w:pPr>
            <w:r>
              <w:rPr>
                <w:rFonts w:cs="Arial" w:ascii="Arial" w:hAnsi="Arial"/>
                <w:color w:val="000000"/>
              </w:rPr>
              <w:t>4.0</w:t>
            </w:r>
          </w:p>
        </w:tc>
        <w:tc>
          <w:tcPr>
            <w:tcW w:w="1476" w:type="dxa"/>
            <w:tcBorders>
              <w:top w:val="single" w:sz="4" w:space="0" w:color="000000"/>
              <w:start w:val="single" w:sz="4" w:space="0" w:color="000000"/>
              <w:bottom w:val="single" w:sz="4" w:space="0" w:color="000000"/>
              <w:end w:val="single" w:sz="4" w:space="0" w:color="000000"/>
            </w:tcBorders>
          </w:tcPr>
          <w:p>
            <w:pPr>
              <w:pStyle w:val="BodyText"/>
              <w:rPr>
                <w:rFonts w:ascii="Arial" w:hAnsi="Arial" w:cs="Arial"/>
                <w:color w:val="000000"/>
              </w:rPr>
            </w:pPr>
            <w:r>
              <w:rPr>
                <w:rFonts w:cs="Arial" w:ascii="Arial" w:hAnsi="Arial"/>
                <w:color w:val="000000"/>
              </w:rPr>
              <w:t>1.0</w:t>
            </w:r>
          </w:p>
        </w:tc>
        <w:tc>
          <w:tcPr>
            <w:tcW w:w="1476" w:type="dxa"/>
            <w:tcBorders>
              <w:top w:val="single" w:sz="4" w:space="0" w:color="000000"/>
              <w:start w:val="single" w:sz="4" w:space="0" w:color="000000"/>
              <w:bottom w:val="single" w:sz="4" w:space="0" w:color="000000"/>
              <w:end w:val="single" w:sz="4" w:space="0" w:color="000000"/>
            </w:tcBorders>
          </w:tcPr>
          <w:p>
            <w:pPr>
              <w:pStyle w:val="BodyText"/>
              <w:rPr>
                <w:rFonts w:ascii="Arial" w:hAnsi="Arial" w:cs="Arial"/>
                <w:color w:val="000000"/>
              </w:rPr>
            </w:pPr>
            <w:r>
              <w:rPr>
                <w:rFonts w:cs="Arial" w:ascii="Arial" w:hAnsi="Arial"/>
                <w:color w:val="000000"/>
              </w:rPr>
              <w:t>.5</w:t>
            </w:r>
          </w:p>
        </w:tc>
        <w:tc>
          <w:tcPr>
            <w:tcW w:w="1476" w:type="dxa"/>
            <w:tcBorders>
              <w:top w:val="single" w:sz="4" w:space="0" w:color="000000"/>
              <w:start w:val="single" w:sz="4" w:space="0" w:color="000000"/>
              <w:bottom w:val="single" w:sz="4" w:space="0" w:color="000000"/>
              <w:end w:val="single" w:sz="4" w:space="0" w:color="000000"/>
            </w:tcBorders>
          </w:tcPr>
          <w:p>
            <w:pPr>
              <w:pStyle w:val="BodyText"/>
              <w:rPr>
                <w:rFonts w:ascii="Arial" w:hAnsi="Arial" w:cs="Arial"/>
                <w:color w:val="000000"/>
              </w:rPr>
            </w:pPr>
            <w:r>
              <w:rPr>
                <w:rFonts w:cs="Arial" w:ascii="Arial" w:hAnsi="Arial"/>
                <w:color w:val="000000"/>
              </w:rPr>
              <w:t>.5</w:t>
            </w:r>
          </w:p>
        </w:tc>
        <w:tc>
          <w:tcPr>
            <w:tcW w:w="1476" w:type="dxa"/>
            <w:tcBorders>
              <w:top w:val="single" w:sz="4" w:space="0" w:color="000000"/>
              <w:start w:val="single" w:sz="4" w:space="0" w:color="000000"/>
              <w:bottom w:val="single" w:sz="4" w:space="0" w:color="000000"/>
              <w:end w:val="single" w:sz="4" w:space="0" w:color="000000"/>
            </w:tcBorders>
          </w:tcPr>
          <w:p>
            <w:pPr>
              <w:pStyle w:val="BodyText"/>
              <w:rPr>
                <w:rFonts w:ascii="Arial" w:hAnsi="Arial" w:cs="Arial"/>
                <w:color w:val="000000"/>
              </w:rPr>
            </w:pPr>
            <w:r>
              <w:rPr>
                <w:rFonts w:cs="Arial" w:ascii="Arial" w:hAnsi="Arial"/>
                <w:color w:val="000000"/>
              </w:rPr>
              <w:t>.15</w:t>
            </w:r>
          </w:p>
        </w:tc>
      </w:tr>
    </w:tbl>
    <w:p>
      <w:pPr>
        <w:pStyle w:val="BodyText"/>
        <w:rPr>
          <w:rFonts w:ascii="Arial" w:hAnsi="Arial" w:cs="Arial"/>
        </w:rPr>
      </w:pPr>
      <w:r>
        <w:rPr>
          <w:rFonts w:cs="Arial" w:ascii="Arial" w:hAnsi="Arial"/>
        </w:rPr>
      </w:r>
    </w:p>
    <w:p>
      <w:pPr>
        <w:pStyle w:val="Normal"/>
        <w:rPr>
          <w:rFonts w:ascii="Arial" w:hAnsi="Arial" w:cs="Arial"/>
        </w:rPr>
      </w:pPr>
      <w:r>
        <w:rPr>
          <w:rFonts w:cs="Arial" w:ascii="Arial" w:hAnsi="Arial"/>
        </w:rPr>
        <w:t>* For a more detailed description of the credit multipliers please appendix</w:t>
      </w:r>
    </w:p>
    <w:p>
      <w:pPr>
        <w:pStyle w:val="Normal"/>
        <w:rPr>
          <w:rFonts w:ascii="Arial" w:hAnsi="Arial" w:cs="Arial"/>
        </w:rPr>
      </w:pPr>
      <w:r>
        <w:rPr>
          <w:rFonts w:cs="Arial" w:ascii="Arial" w:hAnsi="Arial"/>
        </w:rPr>
      </w:r>
    </w:p>
    <w:p>
      <w:pPr>
        <w:pStyle w:val="Normal"/>
        <w:rPr>
          <w:rFonts w:ascii="Arial" w:hAnsi="Arial" w:cs="Arial"/>
          <w:color w:val="000000"/>
          <w:u w:val="single"/>
        </w:rPr>
      </w:pPr>
      <w:r>
        <w:rPr>
          <w:rFonts w:cs="Arial" w:ascii="Arial" w:hAnsi="Arial"/>
          <w:color w:val="000000"/>
          <w:u w:val="single"/>
        </w:rPr>
      </w:r>
    </w:p>
    <w:p>
      <w:pPr>
        <w:pStyle w:val="Heading3"/>
        <w:ind w:hanging="0" w:start="0"/>
        <w:rPr>
          <w:color w:val="000000"/>
        </w:rPr>
      </w:pPr>
      <w:r>
        <w:rPr>
          <w:color w:val="000000"/>
        </w:rPr>
        <w:t>Transaction Types</w:t>
      </w:r>
    </w:p>
    <w:p>
      <w:pPr>
        <w:pStyle w:val="Normal"/>
        <w:rPr>
          <w:rFonts w:ascii="Arial" w:hAnsi="Arial" w:cs="Arial"/>
          <w:color w:val="000000"/>
          <w:u w:val="single"/>
        </w:rPr>
      </w:pPr>
      <w:r>
        <w:rPr>
          <w:rFonts w:cs="Arial" w:ascii="Arial" w:hAnsi="Arial"/>
          <w:color w:val="000000"/>
          <w:u w:val="single"/>
        </w:rPr>
      </w:r>
    </w:p>
    <w:p>
      <w:pPr>
        <w:pStyle w:val="Normal"/>
        <w:numPr>
          <w:ilvl w:val="0"/>
          <w:numId w:val="7"/>
        </w:numPr>
        <w:rPr>
          <w:rFonts w:ascii="Arial" w:hAnsi="Arial" w:cs="Arial"/>
          <w:color w:val="000000"/>
          <w:szCs w:val="18"/>
        </w:rPr>
      </w:pPr>
      <w:r>
        <w:rPr>
          <w:rFonts w:cs="Arial" w:ascii="Arial" w:hAnsi="Arial"/>
          <w:color w:val="000000"/>
          <w:szCs w:val="18"/>
        </w:rPr>
        <w:t>Immediate Settlement Transactions</w:t>
      </w:r>
    </w:p>
    <w:p>
      <w:pPr>
        <w:pStyle w:val="Normal"/>
        <w:numPr>
          <w:ilvl w:val="0"/>
          <w:numId w:val="7"/>
        </w:numPr>
        <w:rPr>
          <w:rFonts w:ascii="Arial" w:hAnsi="Arial" w:cs="Arial"/>
          <w:color w:val="000000"/>
          <w:szCs w:val="18"/>
        </w:rPr>
      </w:pPr>
      <w:r>
        <w:rPr>
          <w:rFonts w:cs="Arial" w:ascii="Arial" w:hAnsi="Arial"/>
          <w:color w:val="000000"/>
          <w:szCs w:val="18"/>
        </w:rPr>
        <w:t xml:space="preserve">Option Transactions </w:t>
      </w:r>
    </w:p>
    <w:p>
      <w:pPr>
        <w:pStyle w:val="Normal"/>
        <w:numPr>
          <w:ilvl w:val="0"/>
          <w:numId w:val="7"/>
        </w:numPr>
        <w:rPr>
          <w:rFonts w:ascii="Arial" w:hAnsi="Arial" w:cs="Arial"/>
          <w:color w:val="000000"/>
        </w:rPr>
      </w:pPr>
      <w:r>
        <w:rPr>
          <w:rFonts w:cs="Arial" w:ascii="Arial" w:hAnsi="Arial"/>
          <w:color w:val="000000"/>
        </w:rPr>
        <w:t>Marketing Agreements</w:t>
      </w:r>
    </w:p>
    <w:p>
      <w:pPr>
        <w:pStyle w:val="Normal"/>
        <w:ind w:start="1080" w:end="0"/>
        <w:rPr>
          <w:rFonts w:ascii="Arial" w:hAnsi="Arial" w:cs="Arial"/>
          <w:color w:val="000000"/>
        </w:rPr>
      </w:pPr>
      <w:r>
        <w:rPr>
          <w:rFonts w:cs="Arial" w:ascii="Arial" w:hAnsi="Arial"/>
          <w:color w:val="000000"/>
        </w:rPr>
      </w:r>
    </w:p>
    <w:p>
      <w:pPr>
        <w:pStyle w:val="Heading3"/>
        <w:ind w:hanging="0" w:start="0"/>
        <w:rPr>
          <w:color w:val="000000"/>
        </w:rPr>
      </w:pPr>
      <w:r>
        <w:rPr>
          <w:color w:val="000000"/>
        </w:rPr>
        <w:t>Trades</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Only transfers between subsidiaries have taken place.  We are currently talking with a few small manufacturers.</w:t>
      </w:r>
    </w:p>
    <w:p>
      <w:pPr>
        <w:pStyle w:val="Normal"/>
        <w:numPr>
          <w:ilvl w:val="0"/>
          <w:numId w:val="5"/>
        </w:numPr>
        <w:rPr>
          <w:rFonts w:ascii="Arial" w:hAnsi="Arial" w:cs="Arial"/>
          <w:color w:val="000000"/>
        </w:rPr>
      </w:pPr>
      <w:r>
        <w:rPr>
          <w:rFonts w:cs="Arial" w:ascii="Arial" w:hAnsi="Arial"/>
          <w:color w:val="000000"/>
        </w:rPr>
        <w:t>Customers</w:t>
      </w:r>
    </w:p>
    <w:p>
      <w:pPr>
        <w:pStyle w:val="Normal"/>
        <w:numPr>
          <w:ilvl w:val="1"/>
          <w:numId w:val="5"/>
        </w:numPr>
        <w:rPr>
          <w:rFonts w:ascii="Arial" w:hAnsi="Arial" w:cs="Arial"/>
          <w:color w:val="000000"/>
        </w:rPr>
      </w:pPr>
      <w:r>
        <w:rPr>
          <w:rFonts w:cs="Arial" w:ascii="Arial" w:hAnsi="Arial"/>
          <w:color w:val="000000"/>
        </w:rPr>
        <w:t>Utilities</w:t>
      </w:r>
    </w:p>
    <w:p>
      <w:pPr>
        <w:pStyle w:val="Normal"/>
        <w:numPr>
          <w:ilvl w:val="2"/>
          <w:numId w:val="5"/>
        </w:numPr>
        <w:rPr>
          <w:rFonts w:ascii="Arial" w:hAnsi="Arial" w:cs="Arial"/>
          <w:color w:val="000000"/>
        </w:rPr>
      </w:pPr>
      <w:r>
        <w:rPr>
          <w:rFonts w:cs="Arial" w:ascii="Arial" w:hAnsi="Arial"/>
          <w:color w:val="000000"/>
        </w:rPr>
        <w:t>IPPs</w:t>
      </w:r>
    </w:p>
    <w:p>
      <w:pPr>
        <w:pStyle w:val="Normal"/>
        <w:numPr>
          <w:ilvl w:val="2"/>
          <w:numId w:val="5"/>
        </w:numPr>
        <w:rPr>
          <w:rFonts w:ascii="Arial" w:hAnsi="Arial" w:cs="Arial"/>
          <w:color w:val="000000"/>
        </w:rPr>
      </w:pPr>
      <w:r>
        <w:rPr>
          <w:rFonts w:cs="Arial" w:ascii="Arial" w:hAnsi="Arial"/>
          <w:color w:val="000000"/>
        </w:rPr>
        <w:t>Regulated</w:t>
      </w:r>
    </w:p>
    <w:p>
      <w:pPr>
        <w:pStyle w:val="Normal"/>
        <w:numPr>
          <w:ilvl w:val="2"/>
          <w:numId w:val="5"/>
        </w:numPr>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For the major utilities the relationship will mainly revolve around trading and risk management activities.   The largest utilities have massive environmental commitments.  Their knowledge, sophistication and general market presence has allowed them to create emissions trading groups.  The success however appears mixed at best.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Regulatory handcuffs and faux regulatory handcuffs.  A major hurdle facing fluid trading programs is the earnings question.  This relates to where the earnings will flow if a sale is completed.  For example, SO2 allowances are often treated as components of a utility’s fuel clause.   In this example any transaction will result in tax penalties and an earning flowb ack to the rate base, not the shareholders.  </w:t>
      </w:r>
    </w:p>
    <w:p>
      <w:pPr>
        <w:pStyle w:val="Normal"/>
        <w:ind w:start="2520" w:end="0"/>
        <w:rPr>
          <w:rFonts w:ascii="Arial" w:hAnsi="Arial" w:cs="Arial"/>
          <w:color w:val="000000"/>
        </w:rPr>
      </w:pPr>
      <w:r>
        <w:rPr>
          <w:rFonts w:cs="Arial" w:ascii="Arial" w:hAnsi="Arial"/>
          <w:color w:val="000000"/>
        </w:rPr>
      </w:r>
    </w:p>
    <w:p>
      <w:pPr>
        <w:pStyle w:val="Normal"/>
        <w:numPr>
          <w:ilvl w:val="3"/>
          <w:numId w:val="5"/>
        </w:numPr>
        <w:rPr>
          <w:rFonts w:ascii="Arial" w:hAnsi="Arial" w:cs="Arial"/>
          <w:color w:val="000000"/>
        </w:rPr>
      </w:pPr>
      <w:r>
        <w:rPr>
          <w:rFonts w:cs="Arial" w:ascii="Arial" w:hAnsi="Arial"/>
          <w:color w:val="000000"/>
        </w:rPr>
        <w:t xml:space="preserve">SO2 Major Actives- Show chart of those we deal with and include charts from the presentation as an appendix.  </w:t>
      </w:r>
      <w:r>
        <w:rPr>
          <w:rFonts w:cs="Arial" w:ascii="Arial" w:hAnsi="Arial"/>
          <w:color w:val="000000"/>
          <w:highlight w:val="yellow"/>
        </w:rPr>
        <w:t>Top 10 Longs and Shorts Chart??</w:t>
      </w:r>
    </w:p>
    <w:p>
      <w:pPr>
        <w:pStyle w:val="Normal"/>
        <w:numPr>
          <w:ilvl w:val="4"/>
          <w:numId w:val="5"/>
        </w:numPr>
        <w:rPr>
          <w:rFonts w:ascii="Arial" w:hAnsi="Arial" w:cs="Arial"/>
          <w:color w:val="000000"/>
        </w:rPr>
      </w:pPr>
      <w:r>
        <w:rPr>
          <w:rFonts w:cs="Arial" w:ascii="Arial" w:hAnsi="Arial"/>
          <w:color w:val="000000"/>
        </w:rPr>
        <w:t>AEP</w:t>
      </w:r>
    </w:p>
    <w:p>
      <w:pPr>
        <w:pStyle w:val="Normal"/>
        <w:numPr>
          <w:ilvl w:val="4"/>
          <w:numId w:val="5"/>
        </w:numPr>
        <w:rPr>
          <w:rFonts w:ascii="Arial" w:hAnsi="Arial" w:cs="Arial"/>
          <w:color w:val="000000"/>
        </w:rPr>
      </w:pPr>
      <w:r>
        <w:rPr>
          <w:rFonts w:cs="Arial" w:ascii="Arial" w:hAnsi="Arial"/>
          <w:color w:val="000000"/>
        </w:rPr>
        <w:t>Mirant</w:t>
      </w:r>
    </w:p>
    <w:p>
      <w:pPr>
        <w:pStyle w:val="Normal"/>
        <w:numPr>
          <w:ilvl w:val="4"/>
          <w:numId w:val="5"/>
        </w:numPr>
        <w:rPr>
          <w:rFonts w:ascii="Arial" w:hAnsi="Arial" w:cs="Arial"/>
          <w:color w:val="000000"/>
        </w:rPr>
      </w:pPr>
      <w:r>
        <w:rPr>
          <w:rFonts w:cs="Arial" w:ascii="Arial" w:hAnsi="Arial"/>
          <w:color w:val="000000"/>
        </w:rPr>
        <w:t>Southern</w:t>
      </w:r>
    </w:p>
    <w:p>
      <w:pPr>
        <w:pStyle w:val="Normal"/>
        <w:numPr>
          <w:ilvl w:val="4"/>
          <w:numId w:val="5"/>
        </w:numPr>
        <w:rPr>
          <w:rFonts w:ascii="Arial" w:hAnsi="Arial" w:cs="Arial"/>
          <w:color w:val="000000"/>
        </w:rPr>
      </w:pPr>
      <w:r>
        <w:rPr>
          <w:rFonts w:cs="Arial" w:ascii="Arial" w:hAnsi="Arial"/>
          <w:color w:val="000000"/>
        </w:rPr>
        <w:t>APS</w:t>
      </w:r>
    </w:p>
    <w:p>
      <w:pPr>
        <w:pStyle w:val="Normal"/>
        <w:numPr>
          <w:ilvl w:val="4"/>
          <w:numId w:val="5"/>
        </w:numPr>
        <w:rPr>
          <w:rFonts w:ascii="Arial" w:hAnsi="Arial" w:cs="Arial"/>
          <w:color w:val="000000"/>
        </w:rPr>
      </w:pPr>
      <w:r>
        <w:rPr>
          <w:rFonts w:cs="Arial" w:ascii="Arial" w:hAnsi="Arial"/>
          <w:color w:val="000000"/>
        </w:rPr>
        <w:t>Ameren</w:t>
      </w:r>
    </w:p>
    <w:p>
      <w:pPr>
        <w:pStyle w:val="Normal"/>
        <w:numPr>
          <w:ilvl w:val="4"/>
          <w:numId w:val="5"/>
        </w:numPr>
        <w:rPr>
          <w:rFonts w:ascii="Arial" w:hAnsi="Arial" w:cs="Arial"/>
          <w:color w:val="000000"/>
        </w:rPr>
      </w:pPr>
      <w:r>
        <w:rPr>
          <w:rFonts w:cs="Arial" w:ascii="Arial" w:hAnsi="Arial"/>
          <w:color w:val="000000"/>
        </w:rPr>
        <w:t>Allegheny??</w:t>
      </w:r>
    </w:p>
    <w:p>
      <w:pPr>
        <w:pStyle w:val="Normal"/>
        <w:numPr>
          <w:ilvl w:val="3"/>
          <w:numId w:val="5"/>
        </w:numPr>
        <w:rPr>
          <w:rFonts w:ascii="Arial" w:hAnsi="Arial" w:cs="Arial"/>
          <w:color w:val="000000"/>
        </w:rPr>
      </w:pPr>
      <w:r>
        <w:rPr>
          <w:rFonts w:cs="Arial" w:ascii="Arial" w:hAnsi="Arial"/>
          <w:color w:val="000000"/>
        </w:rPr>
        <w:t>SO2 Major Passives- Show chart of those we deal with and include charts from the presentation as an appendix.</w:t>
      </w:r>
    </w:p>
    <w:p>
      <w:pPr>
        <w:pStyle w:val="Normal"/>
        <w:numPr>
          <w:ilvl w:val="4"/>
          <w:numId w:val="5"/>
        </w:numPr>
        <w:rPr>
          <w:rFonts w:ascii="Arial" w:hAnsi="Arial" w:cs="Arial"/>
          <w:color w:val="000000"/>
        </w:rPr>
      </w:pPr>
      <w:r>
        <w:rPr>
          <w:rFonts w:cs="Arial" w:ascii="Arial" w:hAnsi="Arial"/>
          <w:color w:val="000000"/>
        </w:rPr>
        <w:t>TVA</w:t>
      </w:r>
    </w:p>
    <w:p>
      <w:pPr>
        <w:pStyle w:val="Normal"/>
        <w:numPr>
          <w:ilvl w:val="4"/>
          <w:numId w:val="5"/>
        </w:numPr>
        <w:rPr>
          <w:rFonts w:ascii="Arial" w:hAnsi="Arial" w:cs="Arial"/>
          <w:color w:val="000000"/>
        </w:rPr>
      </w:pPr>
      <w:r>
        <w:rPr>
          <w:rFonts w:cs="Arial" w:ascii="Arial" w:hAnsi="Arial"/>
          <w:color w:val="000000"/>
        </w:rPr>
        <w:t>Cinergy</w:t>
      </w:r>
    </w:p>
    <w:p>
      <w:pPr>
        <w:pStyle w:val="Normal"/>
        <w:numPr>
          <w:ilvl w:val="4"/>
          <w:numId w:val="5"/>
        </w:numPr>
        <w:rPr>
          <w:rFonts w:ascii="Arial" w:hAnsi="Arial" w:cs="Arial"/>
          <w:color w:val="000000"/>
        </w:rPr>
      </w:pPr>
      <w:r>
        <w:rPr>
          <w:rFonts w:cs="Arial" w:ascii="Arial" w:hAnsi="Arial"/>
          <w:color w:val="000000"/>
        </w:rPr>
        <w:t>DTE</w:t>
      </w:r>
    </w:p>
    <w:p>
      <w:pPr>
        <w:pStyle w:val="Normal"/>
        <w:numPr>
          <w:ilvl w:val="4"/>
          <w:numId w:val="5"/>
        </w:numPr>
        <w:rPr>
          <w:rFonts w:ascii="Arial" w:hAnsi="Arial" w:cs="Arial"/>
          <w:color w:val="000000"/>
        </w:rPr>
      </w:pPr>
      <w:r>
        <w:rPr>
          <w:rFonts w:cs="Arial" w:ascii="Arial" w:hAnsi="Arial"/>
          <w:color w:val="000000"/>
        </w:rPr>
        <w:t>Reliant?</w:t>
      </w:r>
    </w:p>
    <w:p>
      <w:pPr>
        <w:pStyle w:val="Normal"/>
        <w:numPr>
          <w:ilvl w:val="3"/>
          <w:numId w:val="5"/>
        </w:numPr>
        <w:rPr>
          <w:rFonts w:ascii="Arial" w:hAnsi="Arial" w:cs="Arial"/>
          <w:color w:val="000000"/>
        </w:rPr>
      </w:pPr>
      <w:r>
        <w:rPr>
          <w:rFonts w:cs="Arial" w:ascii="Arial" w:hAnsi="Arial"/>
          <w:color w:val="000000"/>
        </w:rPr>
        <w:t xml:space="preserve">SO2 Mid-Majors: </w:t>
      </w:r>
      <w:r>
        <w:rPr>
          <w:rFonts w:cs="Arial" w:ascii="Arial" w:hAnsi="Arial"/>
          <w:color w:val="000000"/>
          <w:highlight w:val="yellow"/>
        </w:rPr>
        <w:t>Pull from preso</w:t>
      </w:r>
    </w:p>
    <w:p>
      <w:pPr>
        <w:pStyle w:val="Normal"/>
        <w:numPr>
          <w:ilvl w:val="1"/>
          <w:numId w:val="5"/>
        </w:numPr>
        <w:rPr>
          <w:rFonts w:ascii="Arial" w:hAnsi="Arial" w:cs="Arial"/>
          <w:color w:val="000000"/>
        </w:rPr>
      </w:pPr>
      <w:r>
        <w:rPr>
          <w:rFonts w:cs="Arial" w:ascii="Arial" w:hAnsi="Arial"/>
          <w:color w:val="000000"/>
        </w:rPr>
        <w:t>Large Industrials</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The initial manner for market penetration lies in utilizing the Enron network of contacts.  By using solidly established relationships Enron Emissions can more rapidly create relationships.   To this end we’ve met or are setting meetings with all appropriate groups at Enron.   </w:t>
      </w:r>
    </w:p>
    <w:p>
      <w:pPr>
        <w:pStyle w:val="Normal"/>
        <w:numPr>
          <w:ilvl w:val="3"/>
          <w:numId w:val="5"/>
        </w:numPr>
        <w:rPr>
          <w:rFonts w:ascii="Arial" w:hAnsi="Arial" w:cs="Arial"/>
          <w:color w:val="000000"/>
        </w:rPr>
      </w:pPr>
      <w:r>
        <w:rPr>
          <w:rFonts w:cs="Arial" w:ascii="Arial" w:hAnsi="Arial"/>
          <w:color w:val="000000"/>
        </w:rPr>
        <w:t>We’re currently working with the following business units:</w:t>
      </w:r>
    </w:p>
    <w:p>
      <w:pPr>
        <w:pStyle w:val="Normal"/>
        <w:numPr>
          <w:ilvl w:val="4"/>
          <w:numId w:val="5"/>
        </w:numPr>
        <w:rPr>
          <w:rFonts w:ascii="Arial" w:hAnsi="Arial" w:cs="Arial"/>
          <w:color w:val="000000"/>
        </w:rPr>
      </w:pPr>
      <w:r>
        <w:rPr>
          <w:rFonts w:cs="Arial" w:ascii="Arial" w:hAnsi="Arial"/>
          <w:color w:val="000000"/>
        </w:rPr>
        <w:t>Coal</w:t>
      </w:r>
    </w:p>
    <w:p>
      <w:pPr>
        <w:pStyle w:val="Normal"/>
        <w:numPr>
          <w:ilvl w:val="4"/>
          <w:numId w:val="5"/>
        </w:numPr>
        <w:rPr>
          <w:rFonts w:ascii="Arial" w:hAnsi="Arial" w:cs="Arial"/>
          <w:color w:val="000000"/>
        </w:rPr>
      </w:pPr>
      <w:r>
        <w:rPr>
          <w:rFonts w:cs="Arial" w:ascii="Arial" w:hAnsi="Arial"/>
          <w:color w:val="000000"/>
        </w:rPr>
        <w:t>Steel</w:t>
      </w:r>
    </w:p>
    <w:p>
      <w:pPr>
        <w:pStyle w:val="Normal"/>
        <w:numPr>
          <w:ilvl w:val="4"/>
          <w:numId w:val="5"/>
        </w:numPr>
        <w:rPr>
          <w:rFonts w:ascii="Arial" w:hAnsi="Arial" w:cs="Arial"/>
          <w:color w:val="000000"/>
        </w:rPr>
      </w:pPr>
      <w:r>
        <w:rPr>
          <w:rFonts w:cs="Arial" w:ascii="Arial" w:hAnsi="Arial"/>
          <w:color w:val="000000"/>
        </w:rPr>
        <w:t>Pulp and Paper</w:t>
      </w:r>
    </w:p>
    <w:p>
      <w:pPr>
        <w:pStyle w:val="Normal"/>
        <w:numPr>
          <w:ilvl w:val="4"/>
          <w:numId w:val="5"/>
        </w:numPr>
        <w:rPr>
          <w:rFonts w:ascii="Arial" w:hAnsi="Arial" w:cs="Arial"/>
          <w:color w:val="000000"/>
        </w:rPr>
      </w:pPr>
      <w:r>
        <w:rPr>
          <w:rFonts w:cs="Arial" w:ascii="Arial" w:hAnsi="Arial"/>
          <w:color w:val="000000"/>
        </w:rPr>
        <w:t>Renewable Power</w:t>
      </w:r>
    </w:p>
    <w:p>
      <w:pPr>
        <w:pStyle w:val="Normal"/>
        <w:numPr>
          <w:ilvl w:val="4"/>
          <w:numId w:val="5"/>
        </w:numPr>
        <w:rPr>
          <w:rFonts w:ascii="Arial" w:hAnsi="Arial" w:cs="Arial"/>
          <w:color w:val="000000"/>
        </w:rPr>
      </w:pPr>
      <w:r>
        <w:rPr>
          <w:rFonts w:cs="Arial" w:ascii="Arial" w:hAnsi="Arial"/>
          <w:color w:val="000000"/>
        </w:rPr>
        <w:t>Liquids</w:t>
      </w:r>
    </w:p>
    <w:p>
      <w:pPr>
        <w:pStyle w:val="Normal"/>
        <w:numPr>
          <w:ilvl w:val="4"/>
          <w:numId w:val="5"/>
        </w:numPr>
        <w:rPr>
          <w:rFonts w:ascii="Arial" w:hAnsi="Arial" w:cs="Arial"/>
          <w:color w:val="000000"/>
        </w:rPr>
      </w:pPr>
      <w:r>
        <w:rPr>
          <w:rFonts w:cs="Arial" w:ascii="Arial" w:hAnsi="Arial"/>
          <w:color w:val="000000"/>
        </w:rPr>
        <w:t>Petrochemicals</w:t>
      </w:r>
    </w:p>
    <w:p>
      <w:pPr>
        <w:pStyle w:val="Normal"/>
        <w:numPr>
          <w:ilvl w:val="4"/>
          <w:numId w:val="5"/>
        </w:numPr>
        <w:rPr>
          <w:rFonts w:ascii="Arial" w:hAnsi="Arial" w:cs="Arial"/>
          <w:color w:val="000000"/>
        </w:rPr>
      </w:pPr>
      <w:r>
        <w:rPr>
          <w:rFonts w:cs="Arial" w:ascii="Arial" w:hAnsi="Arial"/>
          <w:color w:val="000000"/>
        </w:rPr>
        <w:t>EOTT</w:t>
      </w:r>
    </w:p>
    <w:p>
      <w:pPr>
        <w:pStyle w:val="Normal"/>
        <w:numPr>
          <w:ilvl w:val="4"/>
          <w:numId w:val="5"/>
        </w:numPr>
        <w:rPr>
          <w:rFonts w:ascii="Arial" w:hAnsi="Arial" w:cs="Arial"/>
          <w:color w:val="000000"/>
        </w:rPr>
      </w:pPr>
      <w:r>
        <w:rPr>
          <w:rFonts w:cs="Arial" w:ascii="Arial" w:hAnsi="Arial"/>
          <w:color w:val="000000"/>
        </w:rPr>
        <w:t>Enron Clean Fuels</w:t>
      </w:r>
    </w:p>
    <w:p>
      <w:pPr>
        <w:pStyle w:val="Normal"/>
        <w:numPr>
          <w:ilvl w:val="4"/>
          <w:numId w:val="5"/>
        </w:numPr>
        <w:rPr>
          <w:rFonts w:ascii="Arial" w:hAnsi="Arial" w:cs="Arial"/>
          <w:color w:val="000000"/>
        </w:rPr>
      </w:pPr>
      <w:r>
        <w:rPr>
          <w:rFonts w:cs="Arial" w:ascii="Arial" w:hAnsi="Arial"/>
          <w:color w:val="000000"/>
        </w:rPr>
        <w:t>Weather</w:t>
      </w:r>
    </w:p>
    <w:p>
      <w:pPr>
        <w:pStyle w:val="Normal"/>
        <w:numPr>
          <w:ilvl w:val="4"/>
          <w:numId w:val="5"/>
        </w:numPr>
        <w:rPr>
          <w:rFonts w:ascii="Arial" w:hAnsi="Arial" w:cs="Arial"/>
          <w:color w:val="000000"/>
        </w:rPr>
      </w:pPr>
      <w:r>
        <w:rPr>
          <w:rFonts w:cs="Arial" w:ascii="Arial" w:hAnsi="Arial"/>
          <w:color w:val="000000"/>
        </w:rPr>
        <w:t>Power Generation</w:t>
      </w:r>
    </w:p>
    <w:p>
      <w:pPr>
        <w:pStyle w:val="Normal"/>
        <w:numPr>
          <w:ilvl w:val="4"/>
          <w:numId w:val="5"/>
        </w:numPr>
        <w:rPr>
          <w:rFonts w:ascii="Arial" w:hAnsi="Arial" w:cs="Arial"/>
          <w:color w:val="000000"/>
        </w:rPr>
      </w:pPr>
      <w:r>
        <w:rPr>
          <w:rFonts w:cs="Arial" w:ascii="Arial" w:hAnsi="Arial"/>
          <w:color w:val="000000"/>
        </w:rPr>
        <w:t>Generation Services</w:t>
      </w:r>
    </w:p>
    <w:p>
      <w:pPr>
        <w:pStyle w:val="Normal"/>
        <w:numPr>
          <w:ilvl w:val="4"/>
          <w:numId w:val="5"/>
        </w:numPr>
        <w:rPr>
          <w:rFonts w:ascii="Arial" w:hAnsi="Arial" w:cs="Arial"/>
          <w:color w:val="000000"/>
        </w:rPr>
      </w:pPr>
      <w:r>
        <w:rPr>
          <w:rFonts w:eastAsia="Arial" w:cs="Arial" w:ascii="Arial" w:hAnsi="Arial"/>
          <w:color w:val="000000"/>
        </w:rPr>
        <w:t xml:space="preserve"> </w:t>
      </w:r>
      <w:r>
        <w:rPr>
          <w:rFonts w:cs="Arial" w:ascii="Arial" w:hAnsi="Arial"/>
          <w:color w:val="000000"/>
        </w:rPr>
        <w:t>Environmental Strategies</w:t>
      </w:r>
    </w:p>
    <w:p>
      <w:pPr>
        <w:pStyle w:val="Normal"/>
        <w:numPr>
          <w:ilvl w:val="4"/>
          <w:numId w:val="5"/>
        </w:numPr>
        <w:rPr>
          <w:rFonts w:ascii="Arial" w:hAnsi="Arial" w:cs="Arial"/>
          <w:color w:val="000000"/>
        </w:rPr>
      </w:pPr>
      <w:r>
        <w:rPr>
          <w:rFonts w:cs="Arial" w:ascii="Arial" w:hAnsi="Arial"/>
          <w:color w:val="000000"/>
        </w:rPr>
        <w:t>Government Affairs</w:t>
      </w:r>
    </w:p>
    <w:p>
      <w:pPr>
        <w:pStyle w:val="Normal"/>
        <w:numPr>
          <w:ilvl w:val="4"/>
          <w:numId w:val="5"/>
        </w:numPr>
        <w:rPr>
          <w:rFonts w:ascii="Arial" w:hAnsi="Arial" w:cs="Arial"/>
          <w:color w:val="000000"/>
        </w:rPr>
      </w:pPr>
      <w:r>
        <w:rPr>
          <w:rFonts w:cs="Arial" w:ascii="Arial" w:hAnsi="Arial"/>
          <w:color w:val="000000"/>
        </w:rPr>
        <w:t>EES Major Accounts</w:t>
      </w:r>
    </w:p>
    <w:p>
      <w:pPr>
        <w:pStyle w:val="Normal"/>
        <w:numPr>
          <w:ilvl w:val="4"/>
          <w:numId w:val="5"/>
        </w:numPr>
        <w:rPr>
          <w:rFonts w:ascii="Arial" w:hAnsi="Arial" w:cs="Arial"/>
          <w:color w:val="000000"/>
        </w:rPr>
      </w:pPr>
      <w:r>
        <w:rPr>
          <w:rFonts w:cs="Arial" w:ascii="Arial" w:hAnsi="Arial"/>
          <w:color w:val="000000"/>
        </w:rPr>
        <w:t>EES Industrial Product Management</w:t>
      </w:r>
    </w:p>
    <w:p>
      <w:pPr>
        <w:pStyle w:val="Normal"/>
        <w:numPr>
          <w:ilvl w:val="4"/>
          <w:numId w:val="5"/>
        </w:numPr>
        <w:rPr>
          <w:rFonts w:ascii="Arial" w:hAnsi="Arial" w:cs="Arial"/>
          <w:color w:val="000000"/>
        </w:rPr>
      </w:pPr>
      <w:r>
        <w:rPr>
          <w:rFonts w:cs="Arial" w:ascii="Arial" w:hAnsi="Arial"/>
          <w:color w:val="000000"/>
        </w:rPr>
        <w:t>Compression Services</w:t>
      </w:r>
    </w:p>
    <w:p>
      <w:pPr>
        <w:pStyle w:val="Normal"/>
        <w:numPr>
          <w:ilvl w:val="3"/>
          <w:numId w:val="5"/>
        </w:numPr>
        <w:rPr>
          <w:rFonts w:ascii="Arial" w:hAnsi="Arial" w:cs="Arial"/>
          <w:color w:val="000000"/>
        </w:rPr>
      </w:pPr>
      <w:r>
        <w:rPr>
          <w:rFonts w:cs="Arial" w:ascii="Arial" w:hAnsi="Arial"/>
          <w:color w:val="000000"/>
        </w:rPr>
        <w:t>Initial meetings need to be set with:</w:t>
      </w:r>
    </w:p>
    <w:p>
      <w:pPr>
        <w:pStyle w:val="Normal"/>
        <w:numPr>
          <w:ilvl w:val="4"/>
          <w:numId w:val="5"/>
        </w:numPr>
        <w:rPr>
          <w:rFonts w:ascii="Arial" w:hAnsi="Arial" w:cs="Arial"/>
          <w:color w:val="000000"/>
        </w:rPr>
      </w:pPr>
      <w:r>
        <w:rPr>
          <w:rFonts w:cs="Arial" w:ascii="Arial" w:hAnsi="Arial"/>
          <w:color w:val="000000"/>
        </w:rPr>
        <w:t>Crude</w:t>
      </w:r>
    </w:p>
    <w:p>
      <w:pPr>
        <w:pStyle w:val="Normal"/>
        <w:numPr>
          <w:ilvl w:val="4"/>
          <w:numId w:val="5"/>
        </w:numPr>
        <w:rPr>
          <w:rFonts w:ascii="Arial" w:hAnsi="Arial" w:cs="Arial"/>
          <w:color w:val="000000"/>
        </w:rPr>
      </w:pPr>
      <w:r>
        <w:rPr>
          <w:rFonts w:cs="Arial" w:ascii="Arial" w:hAnsi="Arial"/>
          <w:color w:val="000000"/>
        </w:rPr>
        <w:t>Pipeline Operations</w:t>
      </w:r>
    </w:p>
    <w:p>
      <w:pPr>
        <w:pStyle w:val="Normal"/>
        <w:numPr>
          <w:ilvl w:val="4"/>
          <w:numId w:val="5"/>
        </w:numPr>
        <w:rPr>
          <w:rFonts w:ascii="Arial" w:hAnsi="Arial" w:cs="Arial"/>
          <w:color w:val="000000"/>
        </w:rPr>
      </w:pPr>
      <w:r>
        <w:rPr>
          <w:rFonts w:cs="Arial" w:ascii="Arial" w:hAnsi="Arial"/>
          <w:color w:val="000000"/>
        </w:rPr>
      </w:r>
    </w:p>
    <w:p>
      <w:pPr>
        <w:pStyle w:val="Normal"/>
        <w:numPr>
          <w:ilvl w:val="0"/>
          <w:numId w:val="5"/>
        </w:numPr>
        <w:rPr>
          <w:rFonts w:ascii="Arial" w:hAnsi="Arial" w:cs="Arial"/>
          <w:color w:val="000000"/>
        </w:rPr>
      </w:pPr>
      <w:r>
        <w:rPr>
          <w:rFonts w:cs="Arial" w:ascii="Arial" w:hAnsi="Arial"/>
          <w:color w:val="000000"/>
        </w:rPr>
        <w:t>Competitor and Issue Analysis</w:t>
      </w:r>
    </w:p>
    <w:p>
      <w:pPr>
        <w:pStyle w:val="Normal"/>
        <w:numPr>
          <w:ilvl w:val="1"/>
          <w:numId w:val="5"/>
        </w:numPr>
        <w:rPr>
          <w:rFonts w:ascii="Arial" w:hAnsi="Arial" w:cs="Arial"/>
          <w:color w:val="000000"/>
        </w:rPr>
      </w:pPr>
      <w:r>
        <w:rPr>
          <w:rFonts w:cs="Arial" w:ascii="Arial" w:hAnsi="Arial"/>
          <w:color w:val="000000"/>
        </w:rPr>
        <w:t>Other Companies and Individuals</w:t>
      </w:r>
    </w:p>
    <w:p>
      <w:pPr>
        <w:pStyle w:val="Normal"/>
        <w:numPr>
          <w:ilvl w:val="1"/>
          <w:numId w:val="5"/>
        </w:numPr>
        <w:rPr>
          <w:rFonts w:ascii="Arial" w:hAnsi="Arial" w:cs="Arial"/>
          <w:color w:val="000000"/>
        </w:rPr>
      </w:pPr>
      <w:r>
        <w:rPr>
          <w:rFonts w:cs="Arial" w:ascii="Arial" w:hAnsi="Arial"/>
          <w:color w:val="000000"/>
        </w:rPr>
        <w:t>Key Business Issues</w:t>
      </w:r>
    </w:p>
    <w:p>
      <w:pPr>
        <w:pStyle w:val="Normal"/>
        <w:numPr>
          <w:ilvl w:val="2"/>
          <w:numId w:val="5"/>
        </w:numPr>
        <w:rPr>
          <w:rFonts w:ascii="Arial" w:hAnsi="Arial" w:cs="Arial"/>
          <w:color w:val="000000"/>
        </w:rPr>
      </w:pPr>
      <w:r>
        <w:rPr>
          <w:rFonts w:cs="Arial" w:ascii="Arial" w:hAnsi="Arial"/>
          <w:color w:val="000000"/>
        </w:rPr>
        <w:t>Regulatory Environment</w:t>
      </w:r>
    </w:p>
    <w:p>
      <w:pPr>
        <w:pStyle w:val="Normal"/>
        <w:numPr>
          <w:ilvl w:val="3"/>
          <w:numId w:val="5"/>
        </w:numPr>
        <w:rPr>
          <w:rFonts w:ascii="Arial" w:hAnsi="Arial" w:cs="Arial"/>
          <w:color w:val="000000"/>
        </w:rPr>
      </w:pPr>
      <w:r>
        <w:rPr>
          <w:rFonts w:cs="Arial" w:ascii="Arial" w:hAnsi="Arial"/>
          <w:color w:val="000000"/>
        </w:rPr>
        <w:t>Outstanding Legislation</w:t>
      </w:r>
    </w:p>
    <w:p>
      <w:pPr>
        <w:pStyle w:val="Normal"/>
        <w:numPr>
          <w:ilvl w:val="3"/>
          <w:numId w:val="5"/>
        </w:numPr>
        <w:rPr>
          <w:rFonts w:ascii="Arial" w:hAnsi="Arial" w:cs="Arial"/>
          <w:color w:val="000000"/>
        </w:rPr>
      </w:pPr>
      <w:r>
        <w:rPr>
          <w:rFonts w:cs="Arial" w:ascii="Arial" w:hAnsi="Arial"/>
          <w:color w:val="000000"/>
        </w:rPr>
        <w:t>Enacted laws being tested in the courts:</w:t>
      </w:r>
    </w:p>
    <w:p>
      <w:pPr>
        <w:pStyle w:val="Normal"/>
        <w:keepLines/>
        <w:autoSpaceDE w:val="false"/>
        <w:spacing w:lineRule="atLeast" w:line="240"/>
        <w:rPr>
          <w:rFonts w:ascii="Arial" w:hAnsi="Arial" w:cs="Arial"/>
          <w:color w:val="000000"/>
        </w:rPr>
      </w:pPr>
      <w:r>
        <w:rPr>
          <w:rFonts w:cs="Arial" w:ascii="Arial" w:hAnsi="Arial"/>
          <w:color w:val="000000"/>
        </w:rPr>
        <w:t>In New York, Governor Pataki’s administration has filed and won a lawsuit which would wants to implement year-round NOX controls in 2004 and reduce SO2 emissions by 50 percent, or 130,000 tons annually beginning in 2008, Department of Environmental Conservation Commissioner Erin Crotty announced today.</w:t>
      </w:r>
    </w:p>
    <w:p>
      <w:pPr>
        <w:pStyle w:val="Normal"/>
        <w:keepLines/>
        <w:autoSpaceDE w:val="false"/>
        <w:spacing w:lineRule="atLeast" w:line="240"/>
        <w:rPr>
          <w:rFonts w:ascii="Arial" w:hAnsi="Arial" w:cs="Arial"/>
          <w:color w:val="000000"/>
        </w:rPr>
      </w:pPr>
      <w:r>
        <w:rPr>
          <w:rFonts w:cs="Arial" w:ascii="Arial" w:hAnsi="Arial"/>
          <w:color w:val="000000"/>
        </w:rPr>
      </w:r>
    </w:p>
    <w:p>
      <w:pPr>
        <w:pStyle w:val="Normal"/>
        <w:keepLines/>
        <w:autoSpaceDE w:val="false"/>
        <w:spacing w:lineRule="atLeast" w:line="240"/>
        <w:rPr>
          <w:rFonts w:ascii="Arial" w:hAnsi="Arial" w:cs="Arial"/>
          <w:color w:val="000000"/>
        </w:rPr>
      </w:pPr>
      <w:r>
        <w:rPr>
          <w:rFonts w:cs="Arial" w:ascii="Arial" w:hAnsi="Arial"/>
          <w:color w:val="000000"/>
        </w:rPr>
        <w:t>Originally Gov. George E. Pataki had proposed reducing NOX emissions by 20,000 tons annually beginning in 2003. The SO2 controls were to be fully phased in by 2007.</w:t>
      </w:r>
    </w:p>
    <w:p>
      <w:pPr>
        <w:pStyle w:val="Normal"/>
        <w:keepLines/>
        <w:autoSpaceDE w:val="false"/>
        <w:spacing w:lineRule="atLeast" w:line="240"/>
        <w:rPr>
          <w:rFonts w:ascii="Arial" w:hAnsi="Arial" w:cs="Arial"/>
          <w:color w:val="000000"/>
        </w:rPr>
      </w:pPr>
      <w:r>
        <w:rPr>
          <w:rFonts w:cs="Arial" w:ascii="Arial" w:hAnsi="Arial"/>
          <w:color w:val="000000"/>
        </w:rPr>
      </w:r>
    </w:p>
    <w:p>
      <w:pPr>
        <w:pStyle w:val="Normal"/>
        <w:keepLines/>
        <w:autoSpaceDE w:val="false"/>
        <w:spacing w:lineRule="atLeast" w:line="240"/>
        <w:rPr>
          <w:rFonts w:ascii="Arial" w:hAnsi="Arial" w:cs="Arial"/>
          <w:color w:val="000000"/>
        </w:rPr>
      </w:pPr>
      <w:r>
        <w:rPr>
          <w:rFonts w:cs="Arial" w:ascii="Arial" w:hAnsi="Arial"/>
          <w:color w:val="000000"/>
        </w:rPr>
        <w:t>The draft regulations were sent to the Governor’s Office of Regulatory Review (GORR) for pre-proposal review. GORR will review the regulations, analyze the costs and impacts on small business, rural areas, and jobs, and will reach out to affected parties. DEC will then review GORR’s comments and modify the proposal as appropriate, Crotty said.</w:t>
      </w:r>
    </w:p>
    <w:p>
      <w:pPr>
        <w:pStyle w:val="Normal"/>
        <w:keepLines/>
        <w:autoSpaceDE w:val="false"/>
        <w:spacing w:lineRule="atLeast" w:line="240"/>
        <w:rPr>
          <w:rFonts w:ascii="Arial" w:hAnsi="Arial" w:cs="Arial"/>
          <w:color w:val="000000"/>
        </w:rPr>
      </w:pPr>
      <w:r>
        <w:rPr>
          <w:rFonts w:cs="Arial" w:ascii="Arial" w:hAnsi="Arial"/>
          <w:color w:val="000000"/>
        </w:rPr>
      </w:r>
    </w:p>
    <w:p>
      <w:pPr>
        <w:pStyle w:val="Normal"/>
        <w:keepLines/>
        <w:autoSpaceDE w:val="false"/>
        <w:spacing w:lineRule="atLeast" w:line="240"/>
        <w:rPr>
          <w:rFonts w:ascii="Arial" w:hAnsi="Arial" w:cs="Arial"/>
          <w:color w:val="000000"/>
        </w:rPr>
      </w:pPr>
      <w:r>
        <w:rPr>
          <w:rFonts w:cs="Arial" w:ascii="Arial" w:hAnsi="Arial"/>
          <w:color w:val="000000"/>
        </w:rPr>
        <w:t>Once formally proposed there will be a 45-day public comment period on the regulations.</w:t>
      </w:r>
    </w:p>
    <w:p>
      <w:pPr>
        <w:pStyle w:val="Normal"/>
        <w:keepLines/>
        <w:autoSpaceDE w:val="false"/>
        <w:spacing w:lineRule="atLeast" w:line="240"/>
        <w:rPr>
          <w:rFonts w:ascii="Arial" w:hAnsi="Arial" w:cs="Arial"/>
          <w:color w:val="000000"/>
        </w:rPr>
      </w:pPr>
      <w:r>
        <w:rPr>
          <w:rFonts w:cs="Arial" w:ascii="Arial" w:hAnsi="Arial"/>
          <w:color w:val="000000"/>
        </w:rPr>
      </w:r>
    </w:p>
    <w:p>
      <w:pPr>
        <w:pStyle w:val="Normal"/>
        <w:keepLines/>
        <w:autoSpaceDE w:val="false"/>
        <w:spacing w:lineRule="atLeast" w:line="240"/>
        <w:rPr>
          <w:rFonts w:ascii="Arial" w:hAnsi="Arial" w:cs="Arial"/>
          <w:color w:val="000000"/>
        </w:rPr>
      </w:pPr>
      <w:r>
        <w:rPr>
          <w:rFonts w:cs="Arial" w:ascii="Arial" w:hAnsi="Arial"/>
          <w:color w:val="000000"/>
        </w:rPr>
        <w:t>Crotty announced that the DEC had finished drafting the emission regulations during a hearing conducted by the Assembly Environmental Conservation Committee on Monday.</w:t>
      </w:r>
    </w:p>
    <w:p>
      <w:pPr>
        <w:pStyle w:val="Normal"/>
        <w:keepLines/>
        <w:autoSpaceDE w:val="false"/>
        <w:spacing w:lineRule="atLeast" w:line="240"/>
        <w:rPr>
          <w:rFonts w:ascii="Arial" w:hAnsi="Arial" w:cs="Arial"/>
          <w:color w:val="000000"/>
        </w:rPr>
      </w:pPr>
      <w:r>
        <w:rPr>
          <w:rFonts w:cs="Arial" w:ascii="Arial" w:hAnsi="Arial"/>
          <w:color w:val="000000"/>
        </w:rPr>
      </w:r>
    </w:p>
    <w:p>
      <w:pPr>
        <w:pStyle w:val="Normal"/>
        <w:keepLines/>
        <w:autoSpaceDE w:val="false"/>
        <w:spacing w:lineRule="atLeast" w:line="240"/>
        <w:rPr>
          <w:rFonts w:ascii="Arial" w:hAnsi="Arial" w:cs="Arial"/>
          <w:color w:val="000000"/>
        </w:rPr>
      </w:pPr>
      <w:r>
        <w:rPr>
          <w:rFonts w:cs="Arial" w:ascii="Arial" w:hAnsi="Arial"/>
          <w:color w:val="000000"/>
        </w:rPr>
        <w:t>IPPNY will continue to monitor the process and will be commenting on the draft regulations.</w:t>
      </w:r>
    </w:p>
    <w:p>
      <w:pPr>
        <w:pStyle w:val="Normal"/>
        <w:keepLines/>
        <w:autoSpaceDE w:val="false"/>
        <w:spacing w:lineRule="atLeast" w:line="240"/>
        <w:rPr>
          <w:rFonts w:ascii="Arial" w:hAnsi="Arial" w:cs="Arial"/>
          <w:color w:val="000000"/>
        </w:rPr>
      </w:pPr>
      <w:r>
        <w:rPr>
          <w:rFonts w:cs="Arial" w:ascii="Arial" w:hAnsi="Arial"/>
          <w:color w:val="000000"/>
        </w:rPr>
      </w:r>
    </w:p>
    <w:p>
      <w:pPr>
        <w:pStyle w:val="Normal"/>
        <w:keepLines/>
        <w:autoSpaceDE w:val="false"/>
        <w:spacing w:lineRule="atLeast" w:line="240"/>
        <w:rPr>
          <w:rFonts w:ascii="Arial" w:hAnsi="Arial" w:cs="Arial"/>
          <w:color w:val="000000"/>
        </w:rPr>
      </w:pPr>
      <w:r>
        <w:rPr>
          <w:rFonts w:cs="Arial" w:ascii="Arial" w:hAnsi="Arial"/>
          <w:color w:val="000000"/>
        </w:rPr>
        <w:t>Also in the news Monday, was word that the governor was appointing a “New York State Greenhouse Gas Task Force” to develop policy recommendations on CO2 emissions and other greenhouse gases. The task force will include representatives from business, environmental organizations, state agencies and universities.</w:t>
      </w:r>
    </w:p>
    <w:p>
      <w:pPr>
        <w:pStyle w:val="Normal"/>
        <w:keepLines/>
        <w:autoSpaceDE w:val="false"/>
        <w:spacing w:lineRule="atLeast" w:line="240"/>
        <w:rPr>
          <w:rFonts w:ascii="Arial" w:hAnsi="Arial" w:cs="Arial"/>
          <w:color w:val="000000"/>
        </w:rPr>
      </w:pPr>
      <w:r>
        <w:rPr>
          <w:rFonts w:cs="Arial" w:ascii="Arial" w:hAnsi="Arial"/>
          <w:color w:val="000000"/>
        </w:rPr>
      </w:r>
    </w:p>
    <w:p>
      <w:pPr>
        <w:pStyle w:val="Normal"/>
        <w:keepLines/>
        <w:autoSpaceDE w:val="false"/>
        <w:spacing w:lineRule="atLeast" w:line="240"/>
        <w:rPr>
          <w:rFonts w:ascii="Arial" w:hAnsi="Arial" w:cs="Arial"/>
          <w:color w:val="000000"/>
        </w:rPr>
      </w:pPr>
      <w:r>
        <w:rPr>
          <w:rFonts w:cs="Arial" w:ascii="Arial" w:hAnsi="Arial"/>
          <w:color w:val="000000"/>
        </w:rPr>
        <w:t>IPPNY board member John Reese, government affairs director for Orion Power New York was named a member of the task force.</w:t>
      </w:r>
    </w:p>
    <w:p>
      <w:pPr>
        <w:pStyle w:val="Normal"/>
        <w:keepLines/>
        <w:autoSpaceDE w:val="false"/>
        <w:spacing w:lineRule="atLeast" w:line="240"/>
        <w:rPr>
          <w:rFonts w:ascii="Arial" w:hAnsi="Arial" w:cs="Arial"/>
          <w:color w:val="000000"/>
        </w:rPr>
      </w:pPr>
      <w:r>
        <w:rPr>
          <w:rFonts w:cs="Arial" w:ascii="Arial" w:hAnsi="Arial"/>
          <w:color w:val="000000"/>
        </w:rPr>
      </w:r>
    </w:p>
    <w:p>
      <w:pPr>
        <w:pStyle w:val="Normal"/>
        <w:keepLines/>
        <w:autoSpaceDE w:val="false"/>
        <w:spacing w:lineRule="atLeast" w:line="240"/>
        <w:rPr>
          <w:rFonts w:ascii="Arial" w:hAnsi="Arial" w:cs="Arial"/>
          <w:color w:val="000000"/>
        </w:rPr>
      </w:pPr>
      <w:r>
        <w:rPr>
          <w:rFonts w:cs="Arial" w:ascii="Arial" w:hAnsi="Arial"/>
          <w:color w:val="000000"/>
        </w:rPr>
        <w:t xml:space="preserve">Gov. Pataki also urged the federal government to take national action on sulfur dioxide, nitrogen oxides, carbon dioxide and mercury, and announced an Executive Order mandating energy efficiency measures at state buildings and encouraging the use of alternative energy purchases. </w:t>
      </w:r>
    </w:p>
    <w:p>
      <w:pPr>
        <w:pStyle w:val="Normal"/>
        <w:keepLines/>
        <w:autoSpaceDE w:val="false"/>
        <w:spacing w:lineRule="atLeast" w:line="240"/>
        <w:rPr>
          <w:rFonts w:ascii="Arial" w:hAnsi="Arial" w:cs="Arial"/>
          <w:color w:val="000000"/>
        </w:rPr>
      </w:pPr>
      <w:r>
        <w:rPr>
          <w:rFonts w:cs="Arial" w:ascii="Arial" w:hAnsi="Arial"/>
          <w:color w:val="000000"/>
        </w:rPr>
      </w:r>
    </w:p>
    <w:p>
      <w:pPr>
        <w:pStyle w:val="Normal"/>
        <w:keepLines/>
        <w:autoSpaceDE w:val="false"/>
        <w:spacing w:lineRule="atLeast" w:line="240"/>
        <w:rPr>
          <w:rFonts w:ascii="Arial" w:hAnsi="Arial" w:cs="Arial"/>
          <w:color w:val="000000"/>
        </w:rPr>
      </w:pPr>
      <w:r>
        <w:rPr>
          <w:rFonts w:cs="Arial" w:ascii="Arial" w:hAnsi="Arial"/>
          <w:color w:val="000000"/>
        </w:rPr>
        <w:t>"I am committed to positioning New York State as a national leader on the critically important issue of reducing greenhouse gases," Pataki said.</w:t>
      </w:r>
    </w:p>
    <w:p>
      <w:pPr>
        <w:pStyle w:val="Normal"/>
        <w:keepLines/>
        <w:autoSpaceDE w:val="false"/>
        <w:spacing w:lineRule="atLeast" w:line="240"/>
        <w:rPr>
          <w:rFonts w:ascii="Arial" w:hAnsi="Arial" w:eastAsia="Arial" w:cs="Arial"/>
          <w:color w:val="000000"/>
        </w:rPr>
      </w:pPr>
      <w:r>
        <w:rPr>
          <w:rFonts w:eastAsia="Arial" w:cs="Arial" w:ascii="Arial" w:hAnsi="Arial"/>
          <w:color w:val="000000"/>
        </w:rPr>
        <w:t xml:space="preserve">    </w:t>
      </w:r>
    </w:p>
    <w:p>
      <w:pPr>
        <w:pStyle w:val="Normal"/>
        <w:keepLines/>
        <w:autoSpaceDE w:val="false"/>
        <w:spacing w:lineRule="atLeast" w:line="240"/>
        <w:rPr>
          <w:color w:val="000000"/>
        </w:rPr>
      </w:pPr>
      <w:r>
        <w:rPr>
          <w:rFonts w:cs="Arial" w:ascii="Arial" w:hAnsi="Arial"/>
          <w:color w:val="000000"/>
        </w:rPr>
        <w:t>The administration expects to get a final report from the task force in March 2002, Crotty said.</w:t>
      </w:r>
    </w:p>
    <w:p>
      <w:pPr>
        <w:pStyle w:val="Normal"/>
        <w:numPr>
          <w:ilvl w:val="4"/>
          <w:numId w:val="5"/>
        </w:numPr>
        <w:rPr>
          <w:rFonts w:ascii="Arial" w:hAnsi="Arial" w:cs="Arial"/>
          <w:color w:val="000000"/>
        </w:rPr>
      </w:pPr>
      <w:r>
        <w:rPr>
          <w:rFonts w:cs="Arial" w:ascii="Arial" w:hAnsi="Arial"/>
          <w:color w:val="000000"/>
        </w:rPr>
      </w:r>
    </w:p>
    <w:p>
      <w:pPr>
        <w:pStyle w:val="Normal"/>
        <w:numPr>
          <w:ilvl w:val="0"/>
          <w:numId w:val="5"/>
        </w:numPr>
        <w:rPr>
          <w:rFonts w:ascii="Arial" w:hAnsi="Arial" w:cs="Arial"/>
          <w:color w:val="000000"/>
        </w:rPr>
      </w:pPr>
      <w:r>
        <w:rPr>
          <w:rFonts w:cs="Arial" w:ascii="Arial" w:hAnsi="Arial"/>
          <w:color w:val="000000"/>
        </w:rPr>
        <w:t>Marketing Plan</w:t>
      </w:r>
    </w:p>
    <w:p>
      <w:pPr>
        <w:pStyle w:val="Normal"/>
        <w:numPr>
          <w:ilvl w:val="1"/>
          <w:numId w:val="5"/>
        </w:numPr>
        <w:rPr>
          <w:rFonts w:ascii="Arial" w:hAnsi="Arial" w:cs="Arial"/>
          <w:color w:val="000000"/>
        </w:rPr>
      </w:pPr>
      <w:r>
        <w:rPr>
          <w:rFonts w:cs="Arial" w:ascii="Arial" w:hAnsi="Arial"/>
          <w:color w:val="000000"/>
        </w:rPr>
        <w:t>Competencies and Pricing Plans</w:t>
      </w:r>
    </w:p>
    <w:p>
      <w:pPr>
        <w:pStyle w:val="Normal"/>
        <w:numPr>
          <w:ilvl w:val="2"/>
          <w:numId w:val="5"/>
        </w:numPr>
        <w:rPr>
          <w:rFonts w:ascii="Arial" w:hAnsi="Arial" w:cs="Arial"/>
          <w:color w:val="000000"/>
          <w:szCs w:val="19"/>
        </w:rPr>
      </w:pPr>
      <w:r>
        <w:rPr>
          <w:rFonts w:cs="Arial" w:ascii="Arial" w:hAnsi="Arial"/>
          <w:color w:val="000000"/>
        </w:rPr>
        <w:t xml:space="preserve">Management Services </w:t>
      </w:r>
    </w:p>
    <w:p>
      <w:pPr>
        <w:pStyle w:val="Normal"/>
        <w:numPr>
          <w:ilvl w:val="3"/>
          <w:numId w:val="5"/>
        </w:numPr>
        <w:rPr>
          <w:rFonts w:ascii="Arial" w:hAnsi="Arial" w:cs="Arial"/>
          <w:color w:val="000000"/>
          <w:szCs w:val="19"/>
        </w:rPr>
      </w:pPr>
      <w:r>
        <w:rPr>
          <w:rFonts w:cs="Arial" w:ascii="Arial" w:hAnsi="Arial"/>
          <w:color w:val="000000"/>
          <w:szCs w:val="19"/>
        </w:rPr>
        <w:t xml:space="preserve">Assess and develop customized compliance solutions designed to avoid regulatory pitfalls and ensure capital is allocated in the most cost effective manner </w:t>
      </w:r>
    </w:p>
    <w:p>
      <w:pPr>
        <w:pStyle w:val="Normal"/>
        <w:numPr>
          <w:ilvl w:val="4"/>
          <w:numId w:val="5"/>
        </w:numPr>
        <w:rPr>
          <w:rFonts w:ascii="Arial" w:hAnsi="Arial" w:cs="Arial"/>
          <w:color w:val="000000"/>
          <w:szCs w:val="19"/>
        </w:rPr>
      </w:pPr>
      <w:r>
        <w:rPr>
          <w:rFonts w:cs="Arial" w:ascii="Arial" w:hAnsi="Arial"/>
          <w:color w:val="000000"/>
          <w:szCs w:val="19"/>
        </w:rPr>
        <w:t>Examples</w:t>
      </w:r>
    </w:p>
    <w:p>
      <w:pPr>
        <w:pStyle w:val="Normal"/>
        <w:numPr>
          <w:ilvl w:val="4"/>
          <w:numId w:val="5"/>
        </w:numPr>
        <w:rPr>
          <w:rFonts w:ascii="Arial" w:hAnsi="Arial" w:cs="Arial"/>
          <w:color w:val="000000"/>
          <w:szCs w:val="19"/>
        </w:rPr>
      </w:pPr>
      <w:r>
        <w:rPr>
          <w:rFonts w:cs="Arial" w:ascii="Arial" w:hAnsi="Arial"/>
          <w:color w:val="000000"/>
          <w:szCs w:val="19"/>
        </w:rPr>
        <w:t>Pricing Plans</w:t>
      </w:r>
    </w:p>
    <w:p>
      <w:pPr>
        <w:pStyle w:val="Normal"/>
        <w:numPr>
          <w:ilvl w:val="3"/>
          <w:numId w:val="5"/>
        </w:numPr>
        <w:rPr>
          <w:rFonts w:ascii="Arial" w:hAnsi="Arial" w:cs="Arial"/>
          <w:color w:val="000000"/>
          <w:szCs w:val="19"/>
        </w:rPr>
      </w:pPr>
      <w:r>
        <w:rPr>
          <w:rFonts w:cs="Arial" w:ascii="Arial" w:hAnsi="Arial"/>
          <w:color w:val="000000"/>
          <w:szCs w:val="19"/>
        </w:rPr>
        <w:t>Provide project management and procurement services for new major source emitters</w:t>
      </w:r>
    </w:p>
    <w:p>
      <w:pPr>
        <w:pStyle w:val="Normal"/>
        <w:numPr>
          <w:ilvl w:val="4"/>
          <w:numId w:val="5"/>
        </w:numPr>
        <w:rPr>
          <w:rFonts w:ascii="Arial" w:hAnsi="Arial" w:cs="Arial"/>
          <w:color w:val="000000"/>
          <w:szCs w:val="19"/>
        </w:rPr>
      </w:pPr>
      <w:r>
        <w:rPr>
          <w:rFonts w:cs="Arial" w:ascii="Arial" w:hAnsi="Arial"/>
          <w:color w:val="000000"/>
          <w:szCs w:val="19"/>
        </w:rPr>
        <w:t>Examples</w:t>
      </w:r>
    </w:p>
    <w:p>
      <w:pPr>
        <w:pStyle w:val="Normal"/>
        <w:numPr>
          <w:ilvl w:val="4"/>
          <w:numId w:val="5"/>
        </w:numPr>
        <w:rPr>
          <w:rFonts w:ascii="Arial" w:hAnsi="Arial" w:cs="Arial"/>
          <w:color w:val="000000"/>
          <w:szCs w:val="19"/>
        </w:rPr>
      </w:pPr>
      <w:r>
        <w:rPr>
          <w:rFonts w:cs="Arial" w:ascii="Arial" w:hAnsi="Arial"/>
          <w:color w:val="000000"/>
          <w:szCs w:val="19"/>
        </w:rPr>
        <w:t>Pricing Plans</w:t>
      </w:r>
    </w:p>
    <w:p>
      <w:pPr>
        <w:pStyle w:val="Normal"/>
        <w:numPr>
          <w:ilvl w:val="3"/>
          <w:numId w:val="5"/>
        </w:numPr>
        <w:rPr>
          <w:rFonts w:ascii="Arial" w:hAnsi="Arial" w:cs="Arial"/>
          <w:color w:val="000000"/>
          <w:szCs w:val="19"/>
        </w:rPr>
      </w:pPr>
      <w:r>
        <w:rPr>
          <w:rFonts w:cs="Arial" w:ascii="Arial" w:hAnsi="Arial"/>
          <w:color w:val="000000"/>
          <w:szCs w:val="19"/>
        </w:rPr>
        <w:t>Develop customized risk management strategies</w:t>
      </w:r>
    </w:p>
    <w:p>
      <w:pPr>
        <w:pStyle w:val="Normal"/>
        <w:numPr>
          <w:ilvl w:val="4"/>
          <w:numId w:val="5"/>
        </w:numPr>
        <w:rPr>
          <w:rFonts w:ascii="Arial" w:hAnsi="Arial" w:cs="Arial"/>
          <w:color w:val="000000"/>
          <w:szCs w:val="19"/>
        </w:rPr>
      </w:pPr>
      <w:r>
        <w:rPr>
          <w:rFonts w:cs="Arial" w:ascii="Arial" w:hAnsi="Arial"/>
          <w:color w:val="000000"/>
          <w:szCs w:val="19"/>
        </w:rPr>
        <w:t>Example</w:t>
      </w:r>
    </w:p>
    <w:p>
      <w:pPr>
        <w:pStyle w:val="Normal"/>
        <w:numPr>
          <w:ilvl w:val="4"/>
          <w:numId w:val="5"/>
        </w:numPr>
        <w:rPr>
          <w:rFonts w:ascii="Arial" w:hAnsi="Arial" w:cs="Arial"/>
          <w:color w:val="000000"/>
          <w:szCs w:val="19"/>
        </w:rPr>
      </w:pPr>
      <w:r>
        <w:rPr>
          <w:rFonts w:cs="Arial" w:ascii="Arial" w:hAnsi="Arial"/>
          <w:color w:val="000000"/>
          <w:szCs w:val="19"/>
        </w:rPr>
        <w:t>Pricing Plans</w:t>
      </w:r>
    </w:p>
    <w:p>
      <w:pPr>
        <w:pStyle w:val="Normal"/>
        <w:numPr>
          <w:ilvl w:val="2"/>
          <w:numId w:val="5"/>
        </w:numPr>
        <w:rPr>
          <w:rFonts w:ascii="Arial" w:hAnsi="Arial" w:cs="Arial"/>
          <w:color w:val="000000"/>
          <w:szCs w:val="19"/>
        </w:rPr>
      </w:pPr>
      <w:r>
        <w:rPr>
          <w:rFonts w:cs="Arial" w:ascii="Arial" w:hAnsi="Arial"/>
          <w:color w:val="000000"/>
          <w:szCs w:val="19"/>
        </w:rPr>
        <w:t xml:space="preserve">Management Tools </w:t>
      </w:r>
    </w:p>
    <w:p>
      <w:pPr>
        <w:pStyle w:val="Normal"/>
        <w:numPr>
          <w:ilvl w:val="3"/>
          <w:numId w:val="5"/>
        </w:numPr>
        <w:rPr>
          <w:rFonts w:ascii="Arial" w:hAnsi="Arial" w:cs="Arial"/>
          <w:color w:val="000000"/>
          <w:szCs w:val="19"/>
        </w:rPr>
      </w:pPr>
      <w:r>
        <w:rPr>
          <w:rFonts w:cs="Arial" w:ascii="Arial" w:hAnsi="Arial"/>
          <w:color w:val="000000"/>
          <w:szCs w:val="19"/>
        </w:rPr>
        <w:t>Provide financing for pollution control technologies with option based repayment (allowances, credits, and energy commodities)</w:t>
      </w:r>
    </w:p>
    <w:p>
      <w:pPr>
        <w:pStyle w:val="Normal"/>
        <w:numPr>
          <w:ilvl w:val="4"/>
          <w:numId w:val="5"/>
        </w:numPr>
        <w:rPr>
          <w:rFonts w:ascii="Arial" w:hAnsi="Arial" w:cs="Arial"/>
          <w:color w:val="000000"/>
          <w:szCs w:val="19"/>
        </w:rPr>
      </w:pPr>
      <w:r>
        <w:rPr>
          <w:rFonts w:cs="Arial" w:ascii="Arial" w:hAnsi="Arial"/>
          <w:color w:val="000000"/>
          <w:szCs w:val="19"/>
        </w:rPr>
        <w:t>Structures and examples</w:t>
      </w:r>
    </w:p>
    <w:p>
      <w:pPr>
        <w:pStyle w:val="Normal"/>
        <w:numPr>
          <w:ilvl w:val="4"/>
          <w:numId w:val="5"/>
        </w:numPr>
        <w:rPr>
          <w:rFonts w:ascii="Arial" w:hAnsi="Arial" w:cs="Arial"/>
          <w:color w:val="000000"/>
          <w:szCs w:val="19"/>
        </w:rPr>
      </w:pPr>
      <w:r>
        <w:rPr>
          <w:rFonts w:cs="Arial" w:ascii="Arial" w:hAnsi="Arial"/>
          <w:color w:val="000000"/>
          <w:szCs w:val="19"/>
        </w:rPr>
        <w:t>Pricing Plans</w:t>
      </w:r>
    </w:p>
    <w:p>
      <w:pPr>
        <w:pStyle w:val="Normal"/>
        <w:numPr>
          <w:ilvl w:val="3"/>
          <w:numId w:val="5"/>
        </w:numPr>
        <w:rPr>
          <w:rFonts w:ascii="Arial" w:hAnsi="Arial" w:cs="Arial"/>
          <w:color w:val="000000"/>
          <w:szCs w:val="19"/>
        </w:rPr>
      </w:pPr>
      <w:r>
        <w:rPr>
          <w:rFonts w:cs="Arial" w:ascii="Arial" w:hAnsi="Arial"/>
          <w:color w:val="000000"/>
          <w:szCs w:val="19"/>
        </w:rPr>
        <w:t>Provide cross-commodity swaps (gas, power, coal, allowances, and credits) and outright allowance monetization</w:t>
      </w:r>
    </w:p>
    <w:p>
      <w:pPr>
        <w:pStyle w:val="Normal"/>
        <w:numPr>
          <w:ilvl w:val="4"/>
          <w:numId w:val="5"/>
        </w:numPr>
        <w:rPr>
          <w:rFonts w:ascii="Arial" w:hAnsi="Arial" w:cs="Arial"/>
          <w:color w:val="000000"/>
          <w:szCs w:val="19"/>
        </w:rPr>
      </w:pPr>
      <w:r>
        <w:rPr>
          <w:rFonts w:cs="Arial" w:ascii="Arial" w:hAnsi="Arial"/>
          <w:color w:val="000000"/>
          <w:szCs w:val="19"/>
        </w:rPr>
        <w:t>Brief examples</w:t>
      </w:r>
    </w:p>
    <w:p>
      <w:pPr>
        <w:pStyle w:val="Normal"/>
        <w:numPr>
          <w:ilvl w:val="4"/>
          <w:numId w:val="5"/>
        </w:numPr>
        <w:rPr>
          <w:rFonts w:ascii="Arial" w:hAnsi="Arial" w:cs="Arial"/>
          <w:color w:val="000000"/>
          <w:szCs w:val="19"/>
        </w:rPr>
      </w:pPr>
      <w:r>
        <w:rPr>
          <w:rFonts w:cs="Arial" w:ascii="Arial" w:hAnsi="Arial"/>
          <w:color w:val="000000"/>
          <w:szCs w:val="19"/>
        </w:rPr>
        <w:t>Pricing Plans</w:t>
      </w:r>
    </w:p>
    <w:p>
      <w:pPr>
        <w:pStyle w:val="Normal"/>
        <w:numPr>
          <w:ilvl w:val="3"/>
          <w:numId w:val="5"/>
        </w:numPr>
        <w:rPr>
          <w:rFonts w:ascii="Arial" w:hAnsi="Arial" w:cs="Arial"/>
          <w:color w:val="000000"/>
        </w:rPr>
      </w:pPr>
      <w:r>
        <w:rPr>
          <w:rFonts w:cs="Arial" w:ascii="Arial" w:hAnsi="Arial"/>
          <w:color w:val="000000"/>
          <w:szCs w:val="19"/>
        </w:rPr>
        <w:t>Buy and sell competitively priced allowances and credits – without charging commissions or fees</w:t>
      </w:r>
    </w:p>
    <w:p>
      <w:pPr>
        <w:pStyle w:val="Normal"/>
        <w:numPr>
          <w:ilvl w:val="2"/>
          <w:numId w:val="5"/>
        </w:numPr>
        <w:rPr>
          <w:rFonts w:ascii="Arial" w:hAnsi="Arial" w:cs="Arial"/>
          <w:color w:val="000000"/>
        </w:rPr>
      </w:pPr>
      <w:r>
        <w:rPr>
          <w:rFonts w:cs="Arial" w:ascii="Arial" w:hAnsi="Arial"/>
          <w:color w:val="000000"/>
          <w:szCs w:val="19"/>
        </w:rPr>
        <w:t>Miscellaneous Initiatives</w:t>
      </w:r>
    </w:p>
    <w:p>
      <w:pPr>
        <w:pStyle w:val="Normal"/>
        <w:numPr>
          <w:ilvl w:val="3"/>
          <w:numId w:val="5"/>
        </w:numPr>
        <w:rPr>
          <w:rFonts w:ascii="Arial" w:hAnsi="Arial" w:cs="Arial"/>
          <w:color w:val="000000"/>
        </w:rPr>
      </w:pPr>
      <w:r>
        <w:rPr>
          <w:rFonts w:cs="Arial" w:ascii="Arial" w:hAnsi="Arial"/>
          <w:color w:val="000000"/>
        </w:rPr>
        <w:t>Handouts</w:t>
      </w:r>
    </w:p>
    <w:p>
      <w:pPr>
        <w:pStyle w:val="Normal"/>
        <w:numPr>
          <w:ilvl w:val="3"/>
          <w:numId w:val="5"/>
        </w:numPr>
        <w:rPr>
          <w:rFonts w:ascii="Arial" w:hAnsi="Arial" w:cs="Arial"/>
          <w:color w:val="000000"/>
        </w:rPr>
      </w:pPr>
      <w:r>
        <w:rPr>
          <w:rFonts w:cs="Arial" w:ascii="Arial" w:hAnsi="Arial"/>
          <w:color w:val="000000"/>
        </w:rPr>
        <w:t>Other Enron Units</w:t>
      </w:r>
    </w:p>
    <w:p>
      <w:pPr>
        <w:pStyle w:val="Normal"/>
        <w:numPr>
          <w:ilvl w:val="3"/>
          <w:numId w:val="5"/>
        </w:numPr>
        <w:rPr>
          <w:rFonts w:ascii="Arial" w:hAnsi="Arial" w:cs="Arial"/>
          <w:color w:val="000000"/>
        </w:rPr>
      </w:pPr>
      <w:r>
        <w:rPr>
          <w:rFonts w:cs="Arial" w:ascii="Arial" w:hAnsi="Arial"/>
          <w:color w:val="000000"/>
        </w:rPr>
        <w:t>Phone</w:t>
      </w:r>
    </w:p>
    <w:p>
      <w:pPr>
        <w:pStyle w:val="Normal"/>
        <w:numPr>
          <w:ilvl w:val="3"/>
          <w:numId w:val="5"/>
        </w:numPr>
        <w:rPr>
          <w:rFonts w:ascii="Arial" w:hAnsi="Arial" w:cs="Arial"/>
          <w:color w:val="000000"/>
        </w:rPr>
      </w:pPr>
      <w:r>
        <w:rPr>
          <w:rFonts w:cs="Arial" w:ascii="Arial" w:hAnsi="Arial"/>
          <w:color w:val="000000"/>
        </w:rPr>
        <w:t>Targeted Email</w:t>
      </w:r>
    </w:p>
    <w:p>
      <w:pPr>
        <w:pStyle w:val="Normal"/>
        <w:numPr>
          <w:ilvl w:val="3"/>
          <w:numId w:val="5"/>
        </w:numPr>
        <w:rPr>
          <w:rFonts w:ascii="Arial" w:hAnsi="Arial" w:cs="Arial"/>
          <w:color w:val="000000"/>
          <w:szCs w:val="19"/>
        </w:rPr>
      </w:pPr>
      <w:r>
        <w:rPr>
          <w:rFonts w:cs="Arial" w:ascii="Arial" w:hAnsi="Arial"/>
          <w:color w:val="000000"/>
        </w:rPr>
        <w:t>Domain Registrations</w:t>
      </w:r>
    </w:p>
    <w:p>
      <w:pPr>
        <w:pStyle w:val="Normal"/>
        <w:numPr>
          <w:ilvl w:val="0"/>
          <w:numId w:val="5"/>
        </w:numPr>
        <w:rPr>
          <w:rFonts w:ascii="Arial" w:hAnsi="Arial" w:cs="Arial"/>
          <w:color w:val="000000"/>
        </w:rPr>
      </w:pPr>
      <w:r>
        <w:rPr>
          <w:rFonts w:cs="Arial" w:ascii="Arial" w:hAnsi="Arial"/>
          <w:color w:val="000000"/>
        </w:rPr>
        <w:t xml:space="preserve">Strategy for implementation </w:t>
      </w:r>
    </w:p>
    <w:p>
      <w:pPr>
        <w:pStyle w:val="Normal"/>
        <w:numPr>
          <w:ilvl w:val="1"/>
          <w:numId w:val="5"/>
        </w:numPr>
        <w:rPr>
          <w:rFonts w:ascii="Arial" w:hAnsi="Arial" w:cs="Arial"/>
          <w:color w:val="000000"/>
        </w:rPr>
      </w:pPr>
      <w:r>
        <w:rPr>
          <w:rFonts w:cs="Arial" w:ascii="Arial" w:hAnsi="Arial"/>
          <w:color w:val="000000"/>
        </w:rPr>
        <w:t>Current Team</w:t>
      </w:r>
    </w:p>
    <w:p>
      <w:pPr>
        <w:pStyle w:val="Normal"/>
        <w:numPr>
          <w:ilvl w:val="2"/>
          <w:numId w:val="5"/>
        </w:numPr>
        <w:rPr>
          <w:rFonts w:ascii="Arial" w:hAnsi="Arial" w:cs="Arial"/>
          <w:color w:val="000000"/>
        </w:rPr>
      </w:pPr>
      <w:r>
        <w:rPr>
          <w:rFonts w:cs="Arial" w:ascii="Arial" w:hAnsi="Arial"/>
          <w:color w:val="000000"/>
        </w:rPr>
        <w:t>Support</w:t>
      </w:r>
    </w:p>
    <w:p>
      <w:pPr>
        <w:pStyle w:val="Normal"/>
        <w:numPr>
          <w:ilvl w:val="3"/>
          <w:numId w:val="5"/>
        </w:numPr>
        <w:rPr>
          <w:rFonts w:ascii="Arial" w:hAnsi="Arial" w:cs="Arial"/>
          <w:color w:val="000000"/>
        </w:rPr>
      </w:pPr>
      <w:r>
        <w:rPr>
          <w:rFonts w:cs="Arial" w:ascii="Arial" w:hAnsi="Arial"/>
          <w:color w:val="000000"/>
        </w:rPr>
        <w:t>Legal</w:t>
      </w:r>
    </w:p>
    <w:p>
      <w:pPr>
        <w:pStyle w:val="Normal"/>
        <w:numPr>
          <w:ilvl w:val="3"/>
          <w:numId w:val="5"/>
        </w:numPr>
        <w:rPr>
          <w:rFonts w:ascii="Arial" w:hAnsi="Arial" w:cs="Arial"/>
          <w:color w:val="000000"/>
        </w:rPr>
      </w:pPr>
      <w:r>
        <w:rPr>
          <w:rFonts w:cs="Arial" w:ascii="Arial" w:hAnsi="Arial"/>
          <w:color w:val="000000"/>
        </w:rPr>
        <w:t>Contract Administration</w:t>
      </w:r>
    </w:p>
    <w:p>
      <w:pPr>
        <w:pStyle w:val="Normal"/>
        <w:numPr>
          <w:ilvl w:val="3"/>
          <w:numId w:val="5"/>
        </w:numPr>
        <w:rPr>
          <w:rFonts w:ascii="Arial" w:hAnsi="Arial" w:cs="Arial"/>
          <w:color w:val="000000"/>
        </w:rPr>
      </w:pPr>
      <w:r>
        <w:rPr>
          <w:rFonts w:cs="Arial" w:ascii="Arial" w:hAnsi="Arial"/>
          <w:color w:val="000000"/>
        </w:rPr>
        <w:t>Regulatory</w:t>
      </w:r>
    </w:p>
    <w:p>
      <w:pPr>
        <w:pStyle w:val="Normal"/>
        <w:numPr>
          <w:ilvl w:val="3"/>
          <w:numId w:val="5"/>
        </w:numPr>
        <w:rPr>
          <w:rFonts w:ascii="Arial" w:hAnsi="Arial" w:cs="Arial"/>
          <w:color w:val="000000"/>
        </w:rPr>
      </w:pPr>
      <w:r>
        <w:rPr>
          <w:rFonts w:cs="Arial" w:ascii="Arial" w:hAnsi="Arial"/>
          <w:color w:val="000000"/>
        </w:rPr>
        <w:t>Environmental Strategies</w:t>
      </w:r>
    </w:p>
    <w:p>
      <w:pPr>
        <w:pStyle w:val="Normal"/>
        <w:numPr>
          <w:ilvl w:val="3"/>
          <w:numId w:val="5"/>
        </w:numPr>
        <w:rPr>
          <w:rFonts w:ascii="Arial" w:hAnsi="Arial" w:cs="Arial"/>
          <w:color w:val="000000"/>
        </w:rPr>
      </w:pPr>
      <w:r>
        <w:rPr>
          <w:rFonts w:cs="Arial" w:ascii="Arial" w:hAnsi="Arial"/>
          <w:color w:val="000000"/>
        </w:rPr>
        <w:t>HR</w:t>
      </w:r>
    </w:p>
    <w:p>
      <w:pPr>
        <w:pStyle w:val="Normal"/>
        <w:numPr>
          <w:ilvl w:val="3"/>
          <w:numId w:val="5"/>
        </w:numPr>
        <w:rPr>
          <w:rFonts w:ascii="Arial" w:hAnsi="Arial" w:cs="Arial"/>
          <w:color w:val="000000"/>
        </w:rPr>
      </w:pPr>
      <w:r>
        <w:rPr>
          <w:rFonts w:cs="Arial" w:ascii="Arial" w:hAnsi="Arial"/>
          <w:color w:val="000000"/>
        </w:rPr>
      </w:r>
    </w:p>
    <w:p>
      <w:pPr>
        <w:pStyle w:val="Normal"/>
        <w:numPr>
          <w:ilvl w:val="1"/>
          <w:numId w:val="5"/>
        </w:numPr>
        <w:rPr>
          <w:rFonts w:ascii="Arial" w:hAnsi="Arial" w:cs="Arial"/>
          <w:color w:val="000000"/>
        </w:rPr>
      </w:pPr>
      <w:r>
        <w:rPr>
          <w:rFonts w:cs="Arial" w:ascii="Arial" w:hAnsi="Arial"/>
          <w:color w:val="000000"/>
        </w:rPr>
        <w:t>Growth Plans</w:t>
      </w:r>
    </w:p>
    <w:p>
      <w:pPr>
        <w:pStyle w:val="Normal"/>
        <w:numPr>
          <w:ilvl w:val="2"/>
          <w:numId w:val="5"/>
        </w:numPr>
        <w:rPr>
          <w:rFonts w:ascii="Arial" w:hAnsi="Arial" w:cs="Arial"/>
          <w:color w:val="000000"/>
        </w:rPr>
      </w:pPr>
      <w:r>
        <w:rPr>
          <w:rFonts w:cs="Arial" w:ascii="Arial" w:hAnsi="Arial"/>
          <w:color w:val="000000"/>
        </w:rPr>
        <w:t>Skills Needed</w:t>
      </w:r>
    </w:p>
    <w:p>
      <w:pPr>
        <w:pStyle w:val="Normal"/>
        <w:numPr>
          <w:ilvl w:val="2"/>
          <w:numId w:val="5"/>
        </w:numPr>
        <w:rPr>
          <w:rFonts w:ascii="Arial" w:hAnsi="Arial" w:cs="Arial"/>
          <w:color w:val="000000"/>
        </w:rPr>
      </w:pPr>
      <w:r>
        <w:rPr>
          <w:rFonts w:cs="Arial" w:ascii="Arial" w:hAnsi="Arial"/>
          <w:color w:val="000000"/>
        </w:rPr>
        <w:t>Employee vs. Brokerage Fee Rationalization</w:t>
      </w:r>
    </w:p>
    <w:p>
      <w:pPr>
        <w:pStyle w:val="Normal"/>
        <w:numPr>
          <w:ilvl w:val="2"/>
          <w:numId w:val="5"/>
        </w:numPr>
        <w:rPr>
          <w:rFonts w:ascii="Arial" w:hAnsi="Arial" w:cs="Arial"/>
          <w:color w:val="000000"/>
        </w:rPr>
      </w:pPr>
      <w:r>
        <w:rPr>
          <w:rFonts w:cs="Arial" w:ascii="Arial" w:hAnsi="Arial"/>
          <w:color w:val="000000"/>
        </w:rPr>
        <w:t>Summary From Above Markets</w:t>
      </w:r>
    </w:p>
    <w:p>
      <w:pPr>
        <w:pStyle w:val="Normal"/>
        <w:numPr>
          <w:ilvl w:val="1"/>
          <w:numId w:val="5"/>
        </w:numPr>
        <w:rPr>
          <w:rFonts w:ascii="Arial" w:hAnsi="Arial" w:cs="Arial"/>
          <w:color w:val="000000"/>
        </w:rPr>
      </w:pPr>
      <w:r>
        <w:rPr>
          <w:rFonts w:cs="Arial" w:ascii="Arial" w:hAnsi="Arial"/>
          <w:color w:val="000000"/>
        </w:rPr>
        <w:t>Leads</w:t>
      </w:r>
    </w:p>
    <w:p>
      <w:pPr>
        <w:pStyle w:val="Normal"/>
        <w:numPr>
          <w:ilvl w:val="1"/>
          <w:numId w:val="5"/>
        </w:numPr>
        <w:rPr>
          <w:rFonts w:ascii="Arial" w:hAnsi="Arial" w:cs="Arial"/>
          <w:color w:val="000000"/>
        </w:rPr>
      </w:pPr>
      <w:r>
        <w:rPr>
          <w:rFonts w:cs="Arial" w:ascii="Arial" w:hAnsi="Arial"/>
          <w:color w:val="000000"/>
        </w:rPr>
        <w:t>M&amp;A/JV activity</w:t>
      </w:r>
    </w:p>
    <w:p>
      <w:pPr>
        <w:pStyle w:val="Normal"/>
        <w:numPr>
          <w:ilvl w:val="0"/>
          <w:numId w:val="5"/>
        </w:numPr>
        <w:rPr>
          <w:rFonts w:ascii="Arial" w:hAnsi="Arial" w:cs="Arial"/>
          <w:color w:val="000000"/>
        </w:rPr>
      </w:pPr>
      <w:r>
        <w:rPr>
          <w:rFonts w:cs="Arial" w:ascii="Arial" w:hAnsi="Arial"/>
          <w:color w:val="000000"/>
        </w:rPr>
        <w:t>Financial Plans</w:t>
      </w:r>
    </w:p>
    <w:p>
      <w:pPr>
        <w:pStyle w:val="Normal"/>
        <w:numPr>
          <w:ilvl w:val="1"/>
          <w:numId w:val="5"/>
        </w:numPr>
        <w:rPr>
          <w:rFonts w:ascii="Arial" w:hAnsi="Arial" w:cs="Arial"/>
          <w:color w:val="000000"/>
        </w:rPr>
      </w:pPr>
      <w:r>
        <w:rPr>
          <w:rFonts w:cs="Arial" w:ascii="Arial" w:hAnsi="Arial"/>
          <w:color w:val="000000"/>
        </w:rPr>
        <w:t>Historical Balance Sheet and Income Statement</w:t>
      </w:r>
    </w:p>
    <w:p>
      <w:pPr>
        <w:pStyle w:val="Normal"/>
        <w:numPr>
          <w:ilvl w:val="1"/>
          <w:numId w:val="5"/>
        </w:numPr>
        <w:rPr>
          <w:rFonts w:ascii="Arial" w:hAnsi="Arial" w:cs="Arial"/>
          <w:color w:val="000000"/>
        </w:rPr>
      </w:pPr>
      <w:r>
        <w:rPr>
          <w:rFonts w:cs="Arial" w:ascii="Arial" w:hAnsi="Arial"/>
          <w:color w:val="000000"/>
        </w:rPr>
        <w:t>Past Group Performances + Future Projections (Synopsis)</w:t>
      </w:r>
    </w:p>
    <w:p>
      <w:pPr>
        <w:pStyle w:val="Normal"/>
        <w:numPr>
          <w:ilvl w:val="0"/>
          <w:numId w:val="5"/>
        </w:numPr>
        <w:rPr>
          <w:rFonts w:ascii="Arial" w:hAnsi="Arial" w:cs="Arial"/>
          <w:color w:val="000000"/>
        </w:rPr>
      </w:pPr>
      <w:r>
        <w:rPr>
          <w:rFonts w:cs="Arial" w:ascii="Arial" w:hAnsi="Arial"/>
          <w:color w:val="000000"/>
        </w:rPr>
        <w:t>Appendices</w:t>
      </w:r>
    </w:p>
    <w:p>
      <w:pPr>
        <w:pStyle w:val="Normal"/>
        <w:numPr>
          <w:ilvl w:val="1"/>
          <w:numId w:val="5"/>
        </w:numPr>
        <w:rPr>
          <w:rFonts w:ascii="Arial" w:hAnsi="Arial" w:cs="Arial"/>
          <w:color w:val="000000"/>
        </w:rPr>
      </w:pPr>
      <w:r>
        <w:rPr>
          <w:rFonts w:cs="Arial" w:ascii="Arial" w:hAnsi="Arial"/>
          <w:color w:val="000000"/>
        </w:rPr>
        <w:t>Financial Spreadsheets and Calculations</w:t>
      </w:r>
    </w:p>
    <w:p>
      <w:pPr>
        <w:pStyle w:val="Normal"/>
        <w:numPr>
          <w:ilvl w:val="1"/>
          <w:numId w:val="5"/>
        </w:numPr>
        <w:rPr>
          <w:rFonts w:ascii="Arial" w:hAnsi="Arial" w:cs="Arial"/>
          <w:color w:val="000000"/>
        </w:rPr>
      </w:pPr>
      <w:r>
        <w:rPr>
          <w:rFonts w:cs="Arial" w:ascii="Arial" w:hAnsi="Arial"/>
          <w:color w:val="000000"/>
        </w:rPr>
        <w:t>Product Pricing and Specs (can be added later)</w:t>
      </w:r>
    </w:p>
    <w:p>
      <w:pPr>
        <w:pStyle w:val="Normal"/>
        <w:numPr>
          <w:ilvl w:val="1"/>
          <w:numId w:val="5"/>
        </w:numPr>
        <w:rPr>
          <w:rFonts w:ascii="Arial" w:hAnsi="Arial" w:cs="Arial"/>
          <w:color w:val="000000"/>
        </w:rPr>
      </w:pPr>
      <w:r>
        <w:rPr>
          <w:rFonts w:cs="Arial" w:ascii="Arial" w:hAnsi="Arial"/>
          <w:color w:val="000000"/>
        </w:rPr>
        <w:t>Statistics and Articles</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sectPr>
      <w:type w:val="continuous"/>
      <w:pgSz w:w="12240" w:h="15840"/>
      <w:pgMar w:left="1800" w:right="1800" w:gutter="0" w:header="0" w:top="1440"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440"/>
        </w:tabs>
        <w:ind w:start="144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1080"/>
        </w:tabs>
        <w:ind w:start="1080" w:hanging="360"/>
      </w:pPr>
      <w:rPr>
        <w:rFonts w:ascii="Symbol" w:hAnsi="Symbol" w:cs="Symbol" w:hint="default"/>
        <w:sz w:val="18"/>
      </w:rPr>
    </w:lvl>
  </w:abstractNum>
  <w:abstractNum w:abstractNumId="5">
    <w:lvl w:ilvl="0">
      <w:start w:val="1"/>
      <w:numFmt w:val="upperRoman"/>
      <w:lvlText w:val="%1."/>
      <w:lvlJc w:val="start"/>
      <w:pPr>
        <w:tabs>
          <w:tab w:val="num" w:pos="1080"/>
        </w:tabs>
        <w:ind w:start="1080" w:hanging="72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6">
    <w:lvl w:ilvl="0">
      <w:start w:val="1"/>
      <w:numFmt w:val="bullet"/>
      <w:lvlText w:val=""/>
      <w:lvlJc w:val="start"/>
      <w:pPr>
        <w:tabs>
          <w:tab w:val="num" w:pos="1080"/>
        </w:tabs>
        <w:ind w:start="108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sz w:val="18"/>
      </w:rPr>
    </w:lvl>
  </w:abstractNum>
  <w:abstractNum w:abstractNumId="9">
    <w:lvl w:ilvl="0">
      <w:start w:val="1"/>
      <w:numFmt w:val="bullet"/>
      <w:lvlText w:val=""/>
      <w:lvlJc w:val="start"/>
      <w:pPr>
        <w:tabs>
          <w:tab w:val="num" w:pos="1800"/>
        </w:tabs>
        <w:ind w:start="1800" w:hanging="360"/>
      </w:pPr>
      <w:rPr>
        <w:rFonts w:ascii="Symbol" w:hAnsi="Symbol" w:cs="Symbol" w:hint="default"/>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u w:val="single"/>
    </w:rPr>
  </w:style>
  <w:style w:type="paragraph" w:styleId="Heading2">
    <w:name w:val="heading 2"/>
    <w:basedOn w:val="Normal"/>
    <w:next w:val="Normal"/>
    <w:qFormat/>
    <w:pPr>
      <w:keepNext w:val="true"/>
      <w:numPr>
        <w:ilvl w:val="1"/>
        <w:numId w:val="1"/>
      </w:numPr>
      <w:outlineLvl w:val="1"/>
    </w:pPr>
    <w:rPr>
      <w:b/>
      <w:bCs/>
      <w:u w:val="single"/>
    </w:rPr>
  </w:style>
  <w:style w:type="paragraph" w:styleId="Heading3">
    <w:name w:val="heading 3"/>
    <w:basedOn w:val="Normal"/>
    <w:next w:val="Normal"/>
    <w:qFormat/>
    <w:pPr>
      <w:keepNext w:val="true"/>
      <w:numPr>
        <w:ilvl w:val="2"/>
        <w:numId w:val="1"/>
      </w:numPr>
      <w:outlineLvl w:val="2"/>
    </w:pPr>
    <w:rPr>
      <w:rFonts w:ascii="Arial" w:hAnsi="Arial" w:cs="Arial"/>
      <w:color w:val="0000FF"/>
      <w:u w:val="single"/>
    </w:rPr>
  </w:style>
  <w:style w:type="paragraph" w:styleId="Heading4">
    <w:name w:val="heading 4"/>
    <w:basedOn w:val="Normal"/>
    <w:next w:val="Normal"/>
    <w:qFormat/>
    <w:pPr>
      <w:keepNext w:val="true"/>
      <w:numPr>
        <w:ilvl w:val="3"/>
        <w:numId w:val="1"/>
      </w:numPr>
      <w:outlineLvl w:val="3"/>
    </w:pPr>
    <w:rPr>
      <w:rFonts w:ascii="Arial" w:hAnsi="Arial" w:cs="Arial"/>
      <w:b/>
      <w:bCs/>
      <w:color w:val="000000"/>
    </w:rPr>
  </w:style>
  <w:style w:type="paragraph" w:styleId="Heading5">
    <w:name w:val="heading 5"/>
    <w:basedOn w:val="Normal"/>
    <w:next w:val="Normal"/>
    <w:qFormat/>
    <w:pPr>
      <w:keepNext w:val="true"/>
      <w:numPr>
        <w:ilvl w:val="4"/>
        <w:numId w:val="1"/>
      </w:numPr>
      <w:outlineLvl w:val="4"/>
    </w:pPr>
    <w:rPr>
      <w:rFonts w:ascii="Arial" w:hAnsi="Arial" w:cs="Arial"/>
      <w:color w:val="000000"/>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Symbol" w:hAnsi="Symbol" w:cs="Symbol"/>
      <w:sz w:val="18"/>
    </w:rPr>
  </w:style>
  <w:style w:type="character" w:styleId="WW8Num3z2">
    <w:name w:val="WW8Num3z2"/>
    <w:qFormat/>
    <w:rPr>
      <w:rFonts w:ascii="Wingdings" w:hAnsi="Wingdings" w:cs="Wingdings"/>
    </w:rPr>
  </w:style>
  <w:style w:type="character" w:styleId="WW8Num3z4">
    <w:name w:val="WW8Num3z4"/>
    <w:qFormat/>
    <w:rPr>
      <w:rFonts w:ascii="Courier New" w:hAnsi="Courier New" w:cs="Courier New"/>
    </w:rPr>
  </w:style>
  <w:style w:type="character" w:styleId="WW8Num4z0">
    <w:name w:val="WW8Num4z0"/>
    <w:qFormat/>
    <w:rPr>
      <w:rFonts w:ascii="Symbol" w:hAnsi="Symbol" w:cs="Symbol"/>
      <w:sz w:val="18"/>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sz w:val="18"/>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sz w:val="18"/>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Symbol" w:hAnsi="Symbol" w:cs="Symbol"/>
      <w:sz w:val="18"/>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ind w:hanging="0" w:start="360" w:end="0"/>
      <w:jc w:val="center"/>
    </w:pPr>
    <w:rPr>
      <w:rFonts w:ascii="Arial" w:hAnsi="Arial" w:cs="Arial"/>
      <w:b/>
      <w:bCs/>
    </w:rPr>
  </w:style>
  <w:style w:type="paragraph" w:styleId="BodyText">
    <w:name w:val="Body Text"/>
    <w:basedOn w:val="Normal"/>
    <w:pPr/>
    <w:rPr>
      <w:color w:val="0000FF"/>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
    <w:name w:val="plain"/>
    <w:basedOn w:val="Normal"/>
    <w:qFormat/>
    <w:pPr>
      <w:spacing w:before="280" w:after="280"/>
    </w:pPr>
    <w:rPr>
      <w:rFonts w:ascii="Arial" w:hAnsi="Arial" w:eastAsia="Arial Unicode MS" w:cs="Arial"/>
      <w:color w:val="000000"/>
      <w:sz w:val="18"/>
      <w:szCs w:val="18"/>
    </w:rPr>
  </w:style>
  <w:style w:type="paragraph" w:styleId="BodyText2">
    <w:name w:val="Body Text 2"/>
    <w:basedOn w:val="Normal"/>
    <w:qFormat/>
    <w:pPr/>
    <w:rPr>
      <w:rFonts w:ascii="Arial" w:hAnsi="Arial" w:cs="Arial"/>
      <w:color w:val="000000"/>
    </w:rPr>
  </w:style>
  <w:style w:type="paragraph" w:styleId="NormalWeb">
    <w:name w:val="Normal (Web)"/>
    <w:basedOn w:val="Normal"/>
    <w:qFormat/>
    <w:pPr>
      <w:spacing w:before="280" w:after="280"/>
    </w:pPr>
    <w:rPr>
      <w:rFonts w:ascii="Arial Unicode MS" w:hAnsi="Arial Unicode MS" w:eastAsia="Arial Unicode MS" w:cs="Arial Unicode MS"/>
      <w:color w:val="FFFFF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image" Target="media/image2.png"/><Relationship Id="rId5" Type="http://schemas.openxmlformats.org/officeDocument/2006/relationships/package" Target="embeddings/oleObject2.xlsx"/><Relationship Id="rId6" Type="http://schemas.openxmlformats.org/officeDocument/2006/relationships/image" Target="media/image3.wmf"/><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2001-10-09T16:42:00Z</dcterms:created>
  <dc:creator>Trevor Woods</dc:creator>
  <dc:description/>
  <dc:language>en-CA</dc:language>
  <cp:lastModifiedBy>Trevor Woods</cp:lastModifiedBy>
  <dcterms:modified xsi:type="dcterms:W3CDTF">2001-10-09T19:34:00Z</dcterms:modified>
  <cp:revision>17</cp:revision>
  <dc:subject/>
  <dc:title>Enron Emissions Services</dc:title>
</cp:coreProperties>
</file>