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rFonts w:ascii="Times New Roman" w:hAnsi="Times New Roman" w:cs="Times New Roman"/>
                <w:sz w:val="24"/>
              </w:rPr>
            </w:pPr>
            <w:r>
              <w:rPr>
                <w:rFonts w:cs="Times New Roman" w:ascii="Times New Roman" w:hAnsi="Times New Roman"/>
                <w:sz w:val="24"/>
              </w:rPr>
              <w:t xml:space="preserve">TW &amp; NNG Officers </w:t>
            </w:r>
          </w:p>
        </w:tc>
        <w:tc>
          <w:tcPr>
            <w:tcW w:w="990" w:type="dxa"/>
            <w:tcBorders/>
          </w:tcPr>
          <w:p>
            <w:pPr>
              <w:pStyle w:val="Normal"/>
              <w:snapToGrid w:val="false"/>
              <w:ind w:start="-180" w:end="0"/>
              <w:rPr>
                <w:rFonts w:ascii="Times New Roman" w:hAnsi="Times New Roman" w:cs="Times New Roman"/>
                <w:sz w:val="24"/>
              </w:rPr>
            </w:pPr>
            <w:r>
              <w:rPr>
                <w:rFonts w:cs="Times New Roman" w:ascii="Times New Roman" w:hAnsi="Times New Roman"/>
                <w:sz w:val="24"/>
              </w:rPr>
            </w:r>
          </w:p>
        </w:tc>
        <w:tc>
          <w:tcPr>
            <w:tcW w:w="2965" w:type="dxa"/>
            <w:tcBorders/>
          </w:tcPr>
          <w:p>
            <w:pPr>
              <w:pStyle w:val="Footer"/>
              <w:tabs>
                <w:tab w:val="clear" w:pos="4320"/>
                <w:tab w:val="clear" w:pos="8640"/>
                <w:tab w:val="left" w:pos="540" w:leader="none"/>
              </w:tabs>
              <w:snapToGrid w:val="false"/>
              <w:rPr>
                <w:rFonts w:ascii="Times New Roman" w:hAnsi="Times New Roman" w:cs="Times New Roman"/>
              </w:rPr>
            </w:pPr>
            <w:r>
              <w:rPr>
                <w:rFonts w:cs="Times New Roman" w:ascii="Times New Roman" w:hAnsi="Times New Roman"/>
              </w:rPr>
            </w:r>
          </w:p>
        </w:tc>
      </w:tr>
      <w:tr>
        <w:trPr>
          <w:trHeight w:val="216" w:hRule="exact"/>
        </w:trPr>
        <w:tc>
          <w:tcPr>
            <w:tcW w:w="708" w:type="dxa"/>
            <w:tcBorders/>
          </w:tcPr>
          <w:p>
            <w:pPr>
              <w:pStyle w:val="Normal"/>
              <w:snapToGrid w:val="false"/>
              <w:ind w:start="-180" w:end="0"/>
              <w:jc w:val="end"/>
              <w:rPr>
                <w:rFonts w:ascii="Times New Roman" w:hAnsi="Times New Roman" w:cs="Times New Roman"/>
                <w:sz w:val="18"/>
              </w:rPr>
            </w:pPr>
            <w:r>
              <w:rPr>
                <w:rFonts w:cs="Times New Roman" w:ascii="Times New Roman" w:hAnsi="Times New Roman"/>
                <w:sz w:val="18"/>
              </w:rPr>
            </w:r>
          </w:p>
        </w:tc>
        <w:tc>
          <w:tcPr>
            <w:tcW w:w="6045" w:type="dxa"/>
            <w:tcBorders/>
          </w:tcPr>
          <w:p>
            <w:pPr>
              <w:pStyle w:val="Normal"/>
              <w:snapToGrid w:val="false"/>
              <w:rPr>
                <w:rFonts w:ascii="Times New Roman" w:hAnsi="Times New Roman" w:cs="Times New Roman"/>
                <w:sz w:val="18"/>
              </w:rPr>
            </w:pPr>
            <w:r>
              <w:rPr>
                <w:rFonts w:cs="Times New Roman" w:ascii="Times New Roman" w:hAnsi="Times New Roman"/>
                <w:sz w:val="18"/>
              </w:rPr>
            </w:r>
          </w:p>
        </w:tc>
        <w:tc>
          <w:tcPr>
            <w:tcW w:w="990" w:type="dxa"/>
            <w:tcBorders/>
          </w:tcPr>
          <w:p>
            <w:pPr>
              <w:pStyle w:val="Normal"/>
              <w:snapToGrid w:val="false"/>
              <w:ind w:start="-180" w:end="0"/>
              <w:rPr>
                <w:rFonts w:ascii="Times New Roman" w:hAnsi="Times New Roman" w:cs="Times New Roman"/>
                <w:sz w:val="18"/>
              </w:rPr>
            </w:pPr>
            <w:r>
              <w:rPr>
                <w:rFonts w:cs="Times New Roman" w:ascii="Times New Roman" w:hAnsi="Times New Roman"/>
                <w:sz w:val="18"/>
              </w:rPr>
            </w:r>
          </w:p>
        </w:tc>
        <w:tc>
          <w:tcPr>
            <w:tcW w:w="2965" w:type="dxa"/>
            <w:tcBorders/>
          </w:tcPr>
          <w:p>
            <w:pPr>
              <w:pStyle w:val="Normal"/>
              <w:snapToGrid w:val="false"/>
              <w:rPr>
                <w:rFonts w:ascii="Times New Roman" w:hAnsi="Times New Roman" w:cs="Times New Roman"/>
                <w:sz w:val="18"/>
              </w:rPr>
            </w:pPr>
            <w:r>
              <w:rPr>
                <w:rFonts w:cs="Times New Roman" w:ascii="Times New Roman" w:hAnsi="Times New Roman"/>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rFonts w:ascii="Times New Roman" w:hAnsi="Times New Roman" w:cs="Times New Roman"/>
                <w:sz w:val="24"/>
              </w:rPr>
            </w:pPr>
            <w:r>
              <w:rPr>
                <w:rFonts w:cs="Times New Roman" w:ascii="Times New Roman" w:hAnsi="Times New Roman"/>
                <w:sz w:val="24"/>
              </w:rPr>
              <w:t>Dorothy L. McCoppin</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rFonts w:ascii="Times New Roman" w:hAnsi="Times New Roman" w:cs="Times New Roman"/>
                <w:sz w:val="24"/>
              </w:rPr>
            </w:pPr>
            <w:bookmarkStart w:id="0" w:name="From"/>
            <w:bookmarkEnd w:id="0"/>
            <w:r>
              <w:rPr>
                <w:rFonts w:cs="Times New Roman" w:ascii="Times New Roman" w:hAnsi="Times New Roman"/>
                <w:sz w:val="24"/>
              </w:rPr>
              <w:t>ETS Legal</w:t>
            </w:r>
          </w:p>
        </w:tc>
      </w:tr>
      <w:tr>
        <w:trPr>
          <w:trHeight w:val="216" w:hRule="exact"/>
        </w:trPr>
        <w:tc>
          <w:tcPr>
            <w:tcW w:w="708" w:type="dxa"/>
            <w:tcBorders/>
          </w:tcPr>
          <w:p>
            <w:pPr>
              <w:pStyle w:val="Normal"/>
              <w:snapToGrid w:val="false"/>
              <w:ind w:start="-180" w:end="0"/>
              <w:jc w:val="end"/>
              <w:rPr>
                <w:rFonts w:ascii="Times New Roman" w:hAnsi="Times New Roman" w:cs="Times New Roman"/>
                <w:sz w:val="18"/>
              </w:rPr>
            </w:pPr>
            <w:r>
              <w:rPr>
                <w:rFonts w:cs="Times New Roman" w:ascii="Times New Roman" w:hAnsi="Times New Roman"/>
                <w:sz w:val="18"/>
              </w:rPr>
            </w:r>
          </w:p>
        </w:tc>
        <w:tc>
          <w:tcPr>
            <w:tcW w:w="6045" w:type="dxa"/>
            <w:tcBorders/>
          </w:tcPr>
          <w:p>
            <w:pPr>
              <w:pStyle w:val="Normal"/>
              <w:snapToGrid w:val="false"/>
              <w:rPr>
                <w:rFonts w:ascii="Times New Roman" w:hAnsi="Times New Roman" w:cs="Times New Roman"/>
                <w:sz w:val="18"/>
              </w:rPr>
            </w:pPr>
            <w:r>
              <w:rPr>
                <w:rFonts w:cs="Times New Roman" w:ascii="Times New Roman" w:hAnsi="Times New Roman"/>
                <w:sz w:val="18"/>
              </w:rPr>
            </w:r>
          </w:p>
        </w:tc>
        <w:tc>
          <w:tcPr>
            <w:tcW w:w="990" w:type="dxa"/>
            <w:tcBorders/>
          </w:tcPr>
          <w:p>
            <w:pPr>
              <w:pStyle w:val="Normal"/>
              <w:snapToGrid w:val="false"/>
              <w:ind w:start="-180" w:end="0"/>
              <w:rPr>
                <w:rFonts w:ascii="Times New Roman" w:hAnsi="Times New Roman" w:cs="Times New Roman"/>
                <w:sz w:val="18"/>
              </w:rPr>
            </w:pPr>
            <w:r>
              <w:rPr>
                <w:rFonts w:cs="Times New Roman" w:ascii="Times New Roman" w:hAnsi="Times New Roman"/>
                <w:sz w:val="18"/>
              </w:rPr>
            </w:r>
          </w:p>
        </w:tc>
        <w:tc>
          <w:tcPr>
            <w:tcW w:w="2965" w:type="dxa"/>
            <w:tcBorders/>
          </w:tcPr>
          <w:p>
            <w:pPr>
              <w:pStyle w:val="Normal"/>
              <w:snapToGrid w:val="false"/>
              <w:rPr>
                <w:rFonts w:ascii="Times New Roman" w:hAnsi="Times New Roman" w:cs="Times New Roman"/>
                <w:sz w:val="18"/>
              </w:rPr>
            </w:pPr>
            <w:r>
              <w:rPr>
                <w:rFonts w:cs="Times New Roman" w:ascii="Times New Roman" w:hAnsi="Times New Roman"/>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rFonts w:ascii="Times New Roman" w:hAnsi="Times New Roman" w:cs="Times New Roman"/>
                <w:sz w:val="24"/>
              </w:rPr>
            </w:pPr>
            <w:r>
              <w:rPr>
                <w:rFonts w:cs="Times New Roman" w:ascii="Times New Roman" w:hAnsi="Times New Roman"/>
                <w:sz w:val="24"/>
              </w:rPr>
              <w:t xml:space="preserve">Limitations on Business Activities -- </w:t>
            </w:r>
          </w:p>
          <w:p>
            <w:pPr>
              <w:pStyle w:val="Subject"/>
              <w:rPr>
                <w:rFonts w:ascii="Times New Roman" w:hAnsi="Times New Roman" w:cs="Times New Roman"/>
                <w:sz w:val="24"/>
              </w:rPr>
            </w:pPr>
            <w:r>
              <w:rPr>
                <w:rFonts w:cs="Times New Roman" w:ascii="Times New Roman" w:hAnsi="Times New Roman"/>
                <w:sz w:val="24"/>
              </w:rPr>
              <w:t>Merger and Loan Documents</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rFonts w:ascii="Times New Roman" w:hAnsi="Times New Roman" w:cs="Times New Roman"/>
                <w:sz w:val="24"/>
              </w:rPr>
            </w:pPr>
            <w:r>
              <w:rPr>
                <w:rFonts w:cs="Times New Roman" w:ascii="Times New Roman" w:hAnsi="Times New Roman"/>
                <w:sz w:val="24"/>
              </w:rPr>
              <w:t>Nov. 20, 2001</w:t>
            </w:r>
          </w:p>
        </w:tc>
      </w:tr>
    </w:tbl>
    <w:p>
      <w:pPr>
        <w:pStyle w:val="Body"/>
        <w:rPr>
          <w:rFonts w:ascii="Times New Roman" w:hAnsi="Times New Roman" w:cs="Times New Roman"/>
          <w:sz w:val="24"/>
        </w:rPr>
      </w:pPr>
      <w:r>
        <w:rPr>
          <w:rFonts w:cs="Times New Roman" w:ascii="Times New Roman" w:hAnsi="Times New Roman"/>
          <w:sz w:val="24"/>
        </w:rPr>
      </w:r>
      <w:bookmarkStart w:id="1" w:name="StartOfMemo"/>
      <w:bookmarkStart w:id="2" w:name="StartOfMemo"/>
      <w:bookmarkEnd w:id="2"/>
    </w:p>
    <w:p>
      <w:pPr>
        <w:pStyle w:val="Body"/>
        <w:rPr>
          <w:rFonts w:ascii="Times New Roman" w:hAnsi="Times New Roman" w:cs="Times New Roman"/>
          <w:sz w:val="24"/>
        </w:rPr>
      </w:pPr>
      <w:r>
        <w:rPr>
          <w:rFonts w:cs="Times New Roman" w:ascii="Times New Roman" w:hAnsi="Times New Roman"/>
          <w:sz w:val="24"/>
        </w:rPr>
      </w:r>
    </w:p>
    <w:p>
      <w:pPr>
        <w:pStyle w:val="Body"/>
        <w:jc w:val="both"/>
        <w:rPr>
          <w:rFonts w:ascii="Times New Roman" w:hAnsi="Times New Roman" w:cs="Times New Roman"/>
          <w:sz w:val="24"/>
        </w:rPr>
      </w:pPr>
      <w:r>
        <w:rPr>
          <w:rFonts w:cs="Times New Roman" w:ascii="Times New Roman" w:hAnsi="Times New Roman"/>
          <w:sz w:val="24"/>
        </w:rPr>
        <w:t xml:space="preserve">The following summarizes the key points relative to our ongoing business, with respect to several merger and loan agreements executed in the last few weeks.  If you have transactions that fit into any of these categories, please check with your attorneys as to whether such transactions are allowed or trigger some reporting requirement or prior consent. </w:t>
      </w:r>
    </w:p>
    <w:p>
      <w:pPr>
        <w:pStyle w:val="Body"/>
        <w:jc w:val="both"/>
        <w:rPr>
          <w:rFonts w:ascii="Times New Roman" w:hAnsi="Times New Roman" w:cs="Times New Roman"/>
          <w:sz w:val="28"/>
        </w:rPr>
      </w:pPr>
      <w:r>
        <w:rPr>
          <w:rFonts w:cs="Times New Roman" w:ascii="Times New Roman" w:hAnsi="Times New Roman"/>
          <w:sz w:val="28"/>
        </w:rPr>
      </w:r>
    </w:p>
    <w:p>
      <w:pPr>
        <w:pStyle w:val="Body"/>
        <w:spacing w:before="0" w:after="120"/>
        <w:jc w:val="both"/>
        <w:rPr>
          <w:rFonts w:ascii="Times New Roman" w:hAnsi="Times New Roman" w:cs="Times New Roman"/>
          <w:b/>
          <w:bCs/>
          <w:sz w:val="24"/>
        </w:rPr>
      </w:pPr>
      <w:r>
        <w:rPr>
          <w:rFonts w:cs="Times New Roman" w:ascii="Times New Roman" w:hAnsi="Times New Roman"/>
          <w:b/>
          <w:bCs/>
          <w:sz w:val="24"/>
        </w:rPr>
        <w:t>Merger Agreement</w:t>
      </w:r>
    </w:p>
    <w:p>
      <w:pPr>
        <w:pStyle w:val="Body"/>
        <w:spacing w:before="0" w:after="120"/>
        <w:jc w:val="both"/>
        <w:rPr>
          <w:rFonts w:ascii="Times New Roman" w:hAnsi="Times New Roman" w:cs="Times New Roman"/>
          <w:sz w:val="24"/>
        </w:rPr>
      </w:pPr>
      <w:r>
        <w:rPr>
          <w:rFonts w:cs="Times New Roman" w:ascii="Times New Roman" w:hAnsi="Times New Roman"/>
          <w:sz w:val="24"/>
        </w:rPr>
        <w:t>We have made a number of general representations and warranties, including appropriate corporate authority, validity of agreements, compliance with laws, payment of taxes, etc.  In addition, we have agreed to do the following, relative to our ongoing businesses (excluding particular covenants pertinent to Enron only):</w:t>
      </w:r>
    </w:p>
    <w:p>
      <w:pPr>
        <w:pStyle w:val="Body"/>
        <w:numPr>
          <w:ilvl w:val="0"/>
          <w:numId w:val="5"/>
        </w:numPr>
        <w:ind w:hanging="522" w:start="792" w:end="0"/>
        <w:jc w:val="both"/>
        <w:rPr>
          <w:rFonts w:ascii="Times New Roman" w:hAnsi="Times New Roman" w:cs="Times New Roman"/>
          <w:sz w:val="24"/>
        </w:rPr>
      </w:pPr>
      <w:r>
        <w:rPr>
          <w:rFonts w:cs="Times New Roman" w:ascii="Times New Roman" w:hAnsi="Times New Roman"/>
          <w:sz w:val="24"/>
        </w:rPr>
        <w:t xml:space="preserve">conduct business according to our ordinary course; </w:t>
      </w:r>
    </w:p>
    <w:p>
      <w:pPr>
        <w:pStyle w:val="Body"/>
        <w:numPr>
          <w:ilvl w:val="0"/>
          <w:numId w:val="5"/>
        </w:numPr>
        <w:ind w:hanging="522" w:start="792" w:end="0"/>
        <w:jc w:val="both"/>
        <w:rPr>
          <w:rFonts w:ascii="Times New Roman" w:hAnsi="Times New Roman" w:cs="Times New Roman"/>
          <w:sz w:val="24"/>
        </w:rPr>
      </w:pPr>
      <w:r>
        <w:rPr>
          <w:rFonts w:cs="Times New Roman" w:ascii="Times New Roman" w:hAnsi="Times New Roman"/>
          <w:sz w:val="24"/>
        </w:rPr>
        <w:t>use commercially reasonable best efforts to preserve our business organization and goodwill;</w:t>
      </w:r>
    </w:p>
    <w:p>
      <w:pPr>
        <w:pStyle w:val="Body"/>
        <w:numPr>
          <w:ilvl w:val="0"/>
          <w:numId w:val="5"/>
        </w:numPr>
        <w:ind w:hanging="522" w:start="792" w:end="0"/>
        <w:jc w:val="both"/>
        <w:rPr>
          <w:rFonts w:ascii="Times New Roman" w:hAnsi="Times New Roman" w:cs="Times New Roman"/>
          <w:sz w:val="24"/>
        </w:rPr>
      </w:pPr>
      <w:r>
        <w:rPr>
          <w:rFonts w:cs="Times New Roman" w:ascii="Times New Roman" w:hAnsi="Times New Roman"/>
          <w:sz w:val="24"/>
        </w:rPr>
        <w:t>promptly notify of a material adverse change in condition of the business, or termination or material breach of any material contract, institution of material litigation or proceedings, governmental complaints or investigations;</w:t>
      </w:r>
    </w:p>
    <w:p>
      <w:pPr>
        <w:pStyle w:val="Body"/>
        <w:numPr>
          <w:ilvl w:val="0"/>
          <w:numId w:val="5"/>
        </w:numPr>
        <w:ind w:hanging="522" w:start="792" w:end="0"/>
        <w:jc w:val="both"/>
        <w:rPr>
          <w:rFonts w:ascii="Times New Roman" w:hAnsi="Times New Roman" w:cs="Times New Roman"/>
          <w:sz w:val="24"/>
        </w:rPr>
      </w:pPr>
      <w:r>
        <w:rPr>
          <w:rFonts w:cs="Times New Roman" w:ascii="Times New Roman" w:hAnsi="Times New Roman"/>
          <w:sz w:val="24"/>
        </w:rPr>
        <w:t>sell, lease, or otherwise dispose of any assets that are material to it (individually or in the aggregate), excepting sales of surplus or obsolete equipment, assets in ordinary course of business, sales or leases with or between wholly owned subsidiaries;</w:t>
      </w:r>
    </w:p>
    <w:p>
      <w:pPr>
        <w:pStyle w:val="Body"/>
        <w:numPr>
          <w:ilvl w:val="0"/>
          <w:numId w:val="5"/>
        </w:numPr>
        <w:ind w:hanging="522" w:start="792" w:end="0"/>
        <w:jc w:val="both"/>
        <w:rPr>
          <w:rFonts w:ascii="Times New Roman" w:hAnsi="Times New Roman" w:cs="Times New Roman"/>
          <w:sz w:val="24"/>
        </w:rPr>
      </w:pPr>
      <w:r>
        <w:rPr>
          <w:rFonts w:cs="Times New Roman" w:ascii="Times New Roman" w:hAnsi="Times New Roman"/>
          <w:sz w:val="24"/>
        </w:rPr>
        <w:t>acquire assets or an interest in any other entity, for an aggregate of more than $50 million or where a filing with the FTC, under the Hart-Scott-Rodino Antitrust Act is required;</w:t>
      </w:r>
    </w:p>
    <w:p>
      <w:pPr>
        <w:pStyle w:val="Body"/>
        <w:numPr>
          <w:ilvl w:val="0"/>
          <w:numId w:val="5"/>
        </w:numPr>
        <w:ind w:hanging="522" w:start="792" w:end="0"/>
        <w:jc w:val="both"/>
        <w:rPr>
          <w:rFonts w:ascii="Times New Roman" w:hAnsi="Times New Roman" w:cs="Times New Roman"/>
          <w:sz w:val="24"/>
        </w:rPr>
      </w:pPr>
      <w:r>
        <w:rPr>
          <w:rFonts w:cs="Times New Roman" w:ascii="Times New Roman" w:hAnsi="Times New Roman"/>
          <w:sz w:val="24"/>
        </w:rPr>
        <w:t>not change any material accounting principles or practices, except as required by GAAP;</w:t>
      </w:r>
    </w:p>
    <w:p>
      <w:pPr>
        <w:pStyle w:val="Body"/>
        <w:numPr>
          <w:ilvl w:val="0"/>
          <w:numId w:val="5"/>
        </w:numPr>
        <w:ind w:hanging="522" w:start="792" w:end="0"/>
        <w:jc w:val="both"/>
        <w:rPr>
          <w:rFonts w:ascii="Times New Roman" w:hAnsi="Times New Roman" w:cs="Times New Roman"/>
          <w:sz w:val="24"/>
        </w:rPr>
      </w:pPr>
      <w:r>
        <w:rPr>
          <w:rFonts w:cs="Times New Roman" w:ascii="Times New Roman" w:hAnsi="Times New Roman"/>
          <w:sz w:val="24"/>
        </w:rPr>
        <w:t xml:space="preserve">maintain insurance in customary amounts; </w:t>
      </w:r>
    </w:p>
    <w:p>
      <w:pPr>
        <w:pStyle w:val="Body"/>
        <w:numPr>
          <w:ilvl w:val="0"/>
          <w:numId w:val="5"/>
        </w:numPr>
        <w:ind w:hanging="522" w:start="792" w:end="0"/>
        <w:jc w:val="both"/>
        <w:rPr>
          <w:rFonts w:ascii="Times New Roman" w:hAnsi="Times New Roman" w:cs="Times New Roman"/>
          <w:sz w:val="24"/>
        </w:rPr>
      </w:pPr>
      <w:r>
        <w:rPr>
          <w:rFonts w:cs="Times New Roman" w:ascii="Times New Roman" w:hAnsi="Times New Roman"/>
          <w:sz w:val="24"/>
        </w:rPr>
        <w:t>not make or rescind any material election relating to taxes (except for certain initial elections), settle any material tax claim, or change in any material respect any reporting methods for tax purposes;</w:t>
      </w:r>
    </w:p>
    <w:p>
      <w:pPr>
        <w:pStyle w:val="Body"/>
        <w:numPr>
          <w:ilvl w:val="0"/>
          <w:numId w:val="5"/>
        </w:numPr>
        <w:ind w:hanging="522" w:start="792" w:end="0"/>
        <w:jc w:val="both"/>
        <w:rPr>
          <w:rFonts w:ascii="Times New Roman" w:hAnsi="Times New Roman" w:cs="Times New Roman"/>
          <w:sz w:val="24"/>
        </w:rPr>
      </w:pPr>
      <w:r>
        <w:rPr>
          <w:rFonts w:cs="Times New Roman" w:ascii="Times New Roman" w:hAnsi="Times New Roman"/>
          <w:b/>
          <w:bCs/>
          <w:sz w:val="24"/>
        </w:rPr>
        <w:t>not incur debt or contingent obligations</w:t>
      </w:r>
      <w:r>
        <w:rPr>
          <w:rFonts w:cs="Times New Roman" w:ascii="Times New Roman" w:hAnsi="Times New Roman"/>
          <w:sz w:val="24"/>
        </w:rPr>
        <w:t xml:space="preserve"> in an aggregate principal amount in excess of $1 billion over amounts scheduled in agreement, </w:t>
      </w:r>
      <w:r>
        <w:rPr>
          <w:rFonts w:cs="Times New Roman" w:ascii="Times New Roman" w:hAnsi="Times New Roman"/>
          <w:b/>
          <w:bCs/>
          <w:sz w:val="24"/>
        </w:rPr>
        <w:t>or guarantee any such debt</w:t>
      </w:r>
      <w:r>
        <w:rPr>
          <w:rFonts w:cs="Times New Roman" w:ascii="Times New Roman" w:hAnsi="Times New Roman"/>
          <w:sz w:val="24"/>
        </w:rPr>
        <w:t xml:space="preserve">; not enter into any material lease or create any material mortgages or liens (except as permitted); </w:t>
      </w:r>
      <w:r>
        <w:rPr>
          <w:rFonts w:cs="Times New Roman" w:ascii="Times New Roman" w:hAnsi="Times New Roman"/>
          <w:b/>
          <w:bCs/>
          <w:sz w:val="24"/>
        </w:rPr>
        <w:t>make capital expenditures that exceed by more than 20% the forecasted capital expenditures</w:t>
      </w:r>
      <w:r>
        <w:rPr>
          <w:rFonts w:cs="Times New Roman" w:ascii="Times New Roman" w:hAnsi="Times New Roman"/>
          <w:sz w:val="24"/>
        </w:rPr>
        <w:t xml:space="preserve">, excluding repairs for damage covered by insurance; </w:t>
      </w:r>
    </w:p>
    <w:p>
      <w:pPr>
        <w:pStyle w:val="Body"/>
        <w:numPr>
          <w:ilvl w:val="0"/>
          <w:numId w:val="5"/>
        </w:numPr>
        <w:ind w:hanging="522" w:start="792" w:end="0"/>
        <w:jc w:val="both"/>
        <w:rPr>
          <w:rFonts w:ascii="Times New Roman" w:hAnsi="Times New Roman" w:cs="Times New Roman"/>
          <w:sz w:val="24"/>
        </w:rPr>
      </w:pPr>
      <w:r>
        <w:rPr>
          <w:rFonts w:cs="Times New Roman" w:ascii="Times New Roman" w:hAnsi="Times New Roman"/>
          <w:sz w:val="24"/>
        </w:rPr>
        <w:t xml:space="preserve">not enter into any transaction that is reasonably likely to delay or affect materially the ability of the parties to obtain the approval of this agreement by its shareholders and of the merger; and </w:t>
      </w:r>
    </w:p>
    <w:p>
      <w:pPr>
        <w:pStyle w:val="Body"/>
        <w:numPr>
          <w:ilvl w:val="0"/>
          <w:numId w:val="5"/>
        </w:numPr>
        <w:ind w:hanging="522" w:start="792" w:end="0"/>
        <w:jc w:val="both"/>
        <w:rPr>
          <w:rFonts w:ascii="Times New Roman" w:hAnsi="Times New Roman" w:cs="Times New Roman"/>
          <w:sz w:val="24"/>
        </w:rPr>
      </w:pPr>
      <w:r>
        <w:rPr>
          <w:rFonts w:cs="Times New Roman" w:ascii="Times New Roman" w:hAnsi="Times New Roman"/>
          <w:b/>
          <w:bCs/>
          <w:sz w:val="24"/>
        </w:rPr>
        <w:t>not solicit, directly or indirectly, any offer with respect to a merger, consolidation, tender or exchange offer</w:t>
      </w:r>
      <w:r>
        <w:rPr>
          <w:rFonts w:cs="Times New Roman" w:ascii="Times New Roman" w:hAnsi="Times New Roman"/>
          <w:sz w:val="24"/>
        </w:rPr>
        <w:t xml:space="preserve">, etc. involving an aggregate of 15% or more of its stock or its assets, net revenues, or net income; </w:t>
      </w:r>
      <w:r>
        <w:rPr>
          <w:rFonts w:cs="Times New Roman" w:ascii="Times New Roman" w:hAnsi="Times New Roman"/>
          <w:b/>
          <w:bCs/>
          <w:sz w:val="24"/>
        </w:rPr>
        <w:t>or participate in any discussions related thereto</w:t>
      </w:r>
      <w:r>
        <w:rPr>
          <w:rFonts w:cs="Times New Roman" w:ascii="Times New Roman" w:hAnsi="Times New Roman"/>
          <w:sz w:val="24"/>
        </w:rPr>
        <w:t xml:space="preserve"> (with certain exceptions).</w:t>
      </w:r>
    </w:p>
    <w:p>
      <w:pPr>
        <w:pStyle w:val="Body"/>
        <w:ind w:firstLine="18" w:end="0"/>
        <w:jc w:val="both"/>
        <w:rPr>
          <w:rFonts w:ascii="Times New Roman" w:hAnsi="Times New Roman" w:cs="Times New Roman"/>
          <w:sz w:val="28"/>
        </w:rPr>
      </w:pPr>
      <w:r>
        <w:rPr>
          <w:rFonts w:cs="Times New Roman" w:ascii="Times New Roman" w:hAnsi="Times New Roman"/>
          <w:sz w:val="28"/>
        </w:rPr>
      </w:r>
    </w:p>
    <w:p>
      <w:pPr>
        <w:pStyle w:val="Body"/>
        <w:spacing w:before="0" w:after="120"/>
        <w:jc w:val="both"/>
        <w:rPr>
          <w:rFonts w:ascii="Times New Roman" w:hAnsi="Times New Roman" w:cs="Times New Roman"/>
          <w:b/>
          <w:bCs/>
          <w:sz w:val="24"/>
        </w:rPr>
      </w:pPr>
      <w:r>
        <w:rPr>
          <w:rFonts w:cs="Times New Roman" w:ascii="Times New Roman" w:hAnsi="Times New Roman"/>
          <w:b/>
          <w:bCs/>
          <w:sz w:val="24"/>
        </w:rPr>
        <w:t>NNG Stock Subscription Agreement</w:t>
      </w:r>
    </w:p>
    <w:p>
      <w:pPr>
        <w:pStyle w:val="Body"/>
        <w:spacing w:before="0" w:after="120"/>
        <w:jc w:val="both"/>
        <w:rPr>
          <w:rFonts w:ascii="Times New Roman" w:hAnsi="Times New Roman" w:cs="Times New Roman"/>
          <w:sz w:val="24"/>
        </w:rPr>
      </w:pPr>
      <w:r>
        <w:rPr>
          <w:rFonts w:cs="Times New Roman" w:ascii="Times New Roman" w:hAnsi="Times New Roman"/>
          <w:sz w:val="24"/>
        </w:rPr>
        <w:t xml:space="preserve">Under this agreement, we are required to do certain rather routine things, such as keeping property maintained, repaired, etc.; maintaining books and records, allowing reasonable access to books and records by Dynegy.  In addition, prior to the closing of the merger, NNG may not: </w:t>
      </w:r>
    </w:p>
    <w:p>
      <w:pPr>
        <w:pStyle w:val="Body"/>
        <w:numPr>
          <w:ilvl w:val="0"/>
          <w:numId w:val="4"/>
        </w:numPr>
        <w:ind w:hanging="522" w:start="792" w:end="0"/>
        <w:jc w:val="both"/>
        <w:rPr>
          <w:rFonts w:ascii="Times New Roman" w:hAnsi="Times New Roman" w:cs="Times New Roman"/>
          <w:sz w:val="24"/>
        </w:rPr>
      </w:pPr>
      <w:r>
        <w:rPr>
          <w:rFonts w:cs="Times New Roman" w:ascii="Times New Roman" w:hAnsi="Times New Roman"/>
          <w:sz w:val="24"/>
        </w:rPr>
        <w:t>declare or pay a dividend;</w:t>
      </w:r>
    </w:p>
    <w:p>
      <w:pPr>
        <w:pStyle w:val="Body"/>
        <w:numPr>
          <w:ilvl w:val="0"/>
          <w:numId w:val="4"/>
        </w:numPr>
        <w:ind w:hanging="522" w:start="792" w:end="0"/>
        <w:jc w:val="both"/>
        <w:rPr>
          <w:rFonts w:ascii="Times New Roman" w:hAnsi="Times New Roman" w:cs="Times New Roman"/>
          <w:sz w:val="24"/>
        </w:rPr>
      </w:pPr>
      <w:r>
        <w:rPr>
          <w:rFonts w:cs="Times New Roman" w:ascii="Times New Roman" w:hAnsi="Times New Roman"/>
          <w:sz w:val="24"/>
        </w:rPr>
        <w:t>redeem or purchase any of the company’s stock;</w:t>
      </w:r>
    </w:p>
    <w:p>
      <w:pPr>
        <w:pStyle w:val="Body"/>
        <w:numPr>
          <w:ilvl w:val="0"/>
          <w:numId w:val="4"/>
        </w:numPr>
        <w:ind w:hanging="522" w:start="792" w:end="0"/>
        <w:jc w:val="both"/>
        <w:rPr>
          <w:rFonts w:ascii="Times New Roman" w:hAnsi="Times New Roman" w:cs="Times New Roman"/>
          <w:sz w:val="24"/>
        </w:rPr>
      </w:pPr>
      <w:r>
        <w:rPr>
          <w:rFonts w:cs="Times New Roman" w:ascii="Times New Roman" w:hAnsi="Times New Roman"/>
          <w:sz w:val="24"/>
        </w:rPr>
        <w:t>issue any equity securities, or any notes or debt securities which contain equity features;</w:t>
      </w:r>
    </w:p>
    <w:p>
      <w:pPr>
        <w:pStyle w:val="Body"/>
        <w:numPr>
          <w:ilvl w:val="0"/>
          <w:numId w:val="4"/>
        </w:numPr>
        <w:ind w:hanging="522" w:start="792" w:end="0"/>
        <w:jc w:val="both"/>
        <w:rPr>
          <w:rFonts w:ascii="Times New Roman" w:hAnsi="Times New Roman" w:cs="Times New Roman"/>
          <w:sz w:val="24"/>
        </w:rPr>
      </w:pPr>
      <w:r>
        <w:rPr>
          <w:rFonts w:cs="Times New Roman" w:ascii="Times New Roman" w:hAnsi="Times New Roman"/>
          <w:sz w:val="24"/>
        </w:rPr>
        <w:t xml:space="preserve">merge or consolidate with any person; </w:t>
      </w:r>
    </w:p>
    <w:p>
      <w:pPr>
        <w:pStyle w:val="Body"/>
        <w:numPr>
          <w:ilvl w:val="0"/>
          <w:numId w:val="4"/>
        </w:numPr>
        <w:ind w:hanging="522" w:start="792" w:end="0"/>
        <w:jc w:val="both"/>
        <w:rPr>
          <w:rFonts w:ascii="Times New Roman" w:hAnsi="Times New Roman" w:cs="Times New Roman"/>
          <w:sz w:val="24"/>
        </w:rPr>
      </w:pPr>
      <w:r>
        <w:rPr>
          <w:rFonts w:cs="Times New Roman" w:ascii="Times New Roman" w:hAnsi="Times New Roman"/>
          <w:sz w:val="24"/>
        </w:rPr>
        <w:t>except as scheduled,</w:t>
      </w:r>
      <w:r>
        <w:rPr>
          <w:rStyle w:val="FootnoteReference"/>
          <w:rFonts w:cs="Times New Roman" w:ascii="Times New Roman" w:hAnsi="Times New Roman"/>
          <w:sz w:val="24"/>
          <w:vertAlign w:val="superscript"/>
        </w:rPr>
        <w:footnoteReference w:id="2"/>
      </w:r>
      <w:r>
        <w:rPr>
          <w:rFonts w:cs="Times New Roman" w:ascii="Times New Roman" w:hAnsi="Times New Roman"/>
          <w:sz w:val="24"/>
        </w:rPr>
        <w:t xml:space="preserve"> not sell, lease, or dispose of any assets (other than obsolete equipment or inventory and asset sales in ordinary course of business, consistent with historical practice, and not exceeding $20 million within any 12-month period);</w:t>
      </w:r>
    </w:p>
    <w:p>
      <w:pPr>
        <w:pStyle w:val="Body"/>
        <w:numPr>
          <w:ilvl w:val="0"/>
          <w:numId w:val="4"/>
        </w:numPr>
        <w:ind w:hanging="522" w:start="792" w:end="0"/>
        <w:jc w:val="both"/>
        <w:rPr>
          <w:rFonts w:ascii="Times New Roman" w:hAnsi="Times New Roman" w:cs="Times New Roman"/>
          <w:sz w:val="24"/>
        </w:rPr>
      </w:pPr>
      <w:r>
        <w:rPr>
          <w:rFonts w:cs="Times New Roman" w:ascii="Times New Roman" w:hAnsi="Times New Roman"/>
          <w:sz w:val="24"/>
        </w:rPr>
        <w:t>commence a voluntary proceeding in bankruptcy, or consent to appointment of a trustee, or make an assignment for the benefit of creditors;</w:t>
      </w:r>
    </w:p>
    <w:p>
      <w:pPr>
        <w:pStyle w:val="Body"/>
        <w:numPr>
          <w:ilvl w:val="0"/>
          <w:numId w:val="4"/>
        </w:numPr>
        <w:ind w:hanging="522" w:start="792" w:end="0"/>
        <w:jc w:val="both"/>
        <w:rPr>
          <w:rFonts w:ascii="Times New Roman" w:hAnsi="Times New Roman" w:cs="Times New Roman"/>
          <w:sz w:val="24"/>
        </w:rPr>
      </w:pPr>
      <w:r>
        <w:rPr>
          <w:rFonts w:cs="Times New Roman" w:ascii="Times New Roman" w:hAnsi="Times New Roman"/>
          <w:sz w:val="24"/>
        </w:rPr>
        <w:t>make any amendments to the company’s articles of incorporation or pass any resolution adversely affecting the preferred shares;</w:t>
      </w:r>
    </w:p>
    <w:p>
      <w:pPr>
        <w:pStyle w:val="Body"/>
        <w:numPr>
          <w:ilvl w:val="0"/>
          <w:numId w:val="4"/>
        </w:numPr>
        <w:ind w:hanging="522" w:start="792" w:end="0"/>
        <w:jc w:val="both"/>
        <w:rPr>
          <w:rFonts w:ascii="Times New Roman" w:hAnsi="Times New Roman" w:cs="Times New Roman"/>
          <w:sz w:val="24"/>
        </w:rPr>
      </w:pPr>
      <w:r>
        <w:rPr>
          <w:rFonts w:cs="Times New Roman" w:ascii="Times New Roman" w:hAnsi="Times New Roman"/>
          <w:sz w:val="24"/>
        </w:rPr>
        <w:t>make any investment in, or loans or advances to, or guarantees for benefit of any person, other than: (i) for the Enron Cash Management Program or (ii) those made in the ordinary course of business;</w:t>
      </w:r>
    </w:p>
    <w:p>
      <w:pPr>
        <w:pStyle w:val="Body"/>
        <w:numPr>
          <w:ilvl w:val="0"/>
          <w:numId w:val="4"/>
        </w:numPr>
        <w:ind w:hanging="522" w:start="792" w:end="0"/>
        <w:jc w:val="both"/>
        <w:rPr>
          <w:rFonts w:ascii="Times New Roman" w:hAnsi="Times New Roman" w:cs="Times New Roman"/>
          <w:sz w:val="24"/>
        </w:rPr>
      </w:pPr>
      <w:r>
        <w:rPr>
          <w:rFonts w:cs="Times New Roman" w:ascii="Times New Roman" w:hAnsi="Times New Roman"/>
          <w:sz w:val="24"/>
        </w:rPr>
        <w:t>create or assume any debt other than debt (i) existing on Nov. 9, (ii) bank debt to be closed in immediate future ($450 million), or (iii) permitted refinancing debt;</w:t>
      </w:r>
    </w:p>
    <w:p>
      <w:pPr>
        <w:pStyle w:val="Body"/>
        <w:numPr>
          <w:ilvl w:val="0"/>
          <w:numId w:val="4"/>
        </w:numPr>
        <w:ind w:hanging="522" w:start="792" w:end="0"/>
        <w:jc w:val="both"/>
        <w:rPr>
          <w:rFonts w:ascii="Times New Roman" w:hAnsi="Times New Roman" w:cs="Times New Roman"/>
          <w:sz w:val="24"/>
        </w:rPr>
      </w:pPr>
      <w:r>
        <w:rPr>
          <w:rFonts w:cs="Times New Roman" w:ascii="Times New Roman" w:hAnsi="Times New Roman"/>
          <w:sz w:val="24"/>
        </w:rPr>
        <w:t xml:space="preserve">make capital expenditures through 12/31/01 exceeding $40 million; or for the year 2002, exceeding $115 million; or thereafter, in excess of annual budgeted amounts; and </w:t>
      </w:r>
    </w:p>
    <w:p>
      <w:pPr>
        <w:pStyle w:val="Body"/>
        <w:numPr>
          <w:ilvl w:val="0"/>
          <w:numId w:val="4"/>
        </w:numPr>
        <w:ind w:hanging="522" w:start="792" w:end="0"/>
        <w:jc w:val="both"/>
        <w:rPr>
          <w:rFonts w:ascii="Times New Roman" w:hAnsi="Times New Roman" w:cs="Times New Roman"/>
          <w:sz w:val="24"/>
        </w:rPr>
      </w:pPr>
      <w:r>
        <w:rPr>
          <w:rFonts w:cs="Times New Roman" w:ascii="Times New Roman" w:hAnsi="Times New Roman"/>
          <w:sz w:val="24"/>
        </w:rPr>
        <w:t>allow the inter-company note receivable to be less than $240 million plus accrued unpaid dividends on preferred stock.</w:t>
      </w:r>
    </w:p>
    <w:p>
      <w:pPr>
        <w:pStyle w:val="Body"/>
        <w:ind w:firstLine="18" w:end="0"/>
        <w:jc w:val="both"/>
        <w:rPr>
          <w:rFonts w:ascii="Times New Roman" w:hAnsi="Times New Roman" w:cs="Times New Roman"/>
          <w:sz w:val="28"/>
        </w:rPr>
      </w:pPr>
      <w:r>
        <w:rPr>
          <w:rFonts w:cs="Times New Roman" w:ascii="Times New Roman" w:hAnsi="Times New Roman"/>
          <w:sz w:val="28"/>
        </w:rPr>
      </w:r>
    </w:p>
    <w:p>
      <w:pPr>
        <w:pStyle w:val="Body"/>
        <w:spacing w:before="0" w:after="120"/>
        <w:jc w:val="both"/>
        <w:rPr>
          <w:rFonts w:ascii="Times New Roman" w:hAnsi="Times New Roman" w:cs="Times New Roman"/>
          <w:b/>
          <w:bCs/>
          <w:sz w:val="24"/>
        </w:rPr>
      </w:pPr>
      <w:r>
        <w:rPr>
          <w:rFonts w:cs="Times New Roman" w:ascii="Times New Roman" w:hAnsi="Times New Roman"/>
          <w:b/>
          <w:bCs/>
          <w:sz w:val="24"/>
        </w:rPr>
        <w:t xml:space="preserve">Credit Agreement </w:t>
      </w:r>
    </w:p>
    <w:p>
      <w:pPr>
        <w:pStyle w:val="Body"/>
        <w:spacing w:before="0" w:after="120"/>
        <w:jc w:val="both"/>
        <w:rPr>
          <w:rFonts w:ascii="Times New Roman" w:hAnsi="Times New Roman" w:cs="Times New Roman"/>
          <w:sz w:val="24"/>
        </w:rPr>
      </w:pPr>
      <w:r>
        <w:rPr>
          <w:rFonts w:cs="Times New Roman" w:ascii="Times New Roman" w:hAnsi="Times New Roman"/>
          <w:sz w:val="24"/>
        </w:rPr>
        <w:t xml:space="preserve">We have made a number of representations and warranties, including standard items.  In addition, TW and NNG (as Borrower) have each agreed to take certain actions, all of which are listed below (since a failure to comply with many of these would constitute a default under the $1 billion loan): </w:t>
      </w:r>
    </w:p>
    <w:p>
      <w:pPr>
        <w:pStyle w:val="Body"/>
        <w:numPr>
          <w:ilvl w:val="0"/>
          <w:numId w:val="3"/>
        </w:numPr>
        <w:ind w:hanging="522" w:start="792" w:end="0"/>
        <w:jc w:val="both"/>
        <w:rPr>
          <w:rFonts w:ascii="Times New Roman" w:hAnsi="Times New Roman" w:cs="Times New Roman"/>
          <w:sz w:val="24"/>
        </w:rPr>
      </w:pPr>
      <w:r>
        <w:rPr>
          <w:rFonts w:cs="Times New Roman" w:ascii="Times New Roman" w:hAnsi="Times New Roman"/>
          <w:sz w:val="24"/>
        </w:rPr>
        <w:t>promptly furnish copies of quarterly balance sheets; income, retained earnings, and cash flow statements; and audited statements; as well as Treasurer’s certificate of compliance with debt and net worth covenants in each instance;</w:t>
      </w:r>
    </w:p>
    <w:p>
      <w:pPr>
        <w:pStyle w:val="Body"/>
        <w:numPr>
          <w:ilvl w:val="0"/>
          <w:numId w:val="3"/>
        </w:numPr>
        <w:ind w:hanging="522" w:start="792" w:end="0"/>
        <w:jc w:val="both"/>
        <w:rPr>
          <w:rFonts w:ascii="Times New Roman" w:hAnsi="Times New Roman" w:cs="Times New Roman"/>
          <w:sz w:val="24"/>
        </w:rPr>
      </w:pPr>
      <w:r>
        <w:rPr>
          <w:rFonts w:cs="Times New Roman" w:ascii="Times New Roman" w:hAnsi="Times New Roman"/>
          <w:sz w:val="24"/>
        </w:rPr>
        <w:t>notify promptly of any downgrade of Borrower by Standard &amp; Poor’s or Moody’s ;</w:t>
      </w:r>
    </w:p>
    <w:p>
      <w:pPr>
        <w:pStyle w:val="Body"/>
        <w:numPr>
          <w:ilvl w:val="0"/>
          <w:numId w:val="3"/>
        </w:numPr>
        <w:ind w:hanging="522" w:start="792" w:end="0"/>
        <w:jc w:val="both"/>
        <w:rPr>
          <w:rFonts w:ascii="Times New Roman" w:hAnsi="Times New Roman" w:cs="Times New Roman"/>
          <w:sz w:val="24"/>
        </w:rPr>
      </w:pPr>
      <w:r>
        <w:rPr>
          <w:rFonts w:cs="Times New Roman" w:ascii="Times New Roman" w:hAnsi="Times New Roman"/>
          <w:sz w:val="24"/>
        </w:rPr>
        <w:t>notify promptly of any ERISA termination event or certain notices of liability, and to provide copies of any such notices;</w:t>
      </w:r>
    </w:p>
    <w:p>
      <w:pPr>
        <w:pStyle w:val="Body"/>
        <w:numPr>
          <w:ilvl w:val="0"/>
          <w:numId w:val="3"/>
        </w:numPr>
        <w:ind w:hanging="522" w:start="792" w:end="0"/>
        <w:jc w:val="both"/>
        <w:rPr>
          <w:rFonts w:ascii="Times New Roman" w:hAnsi="Times New Roman" w:cs="Times New Roman"/>
          <w:sz w:val="24"/>
        </w:rPr>
      </w:pPr>
      <w:r>
        <w:rPr>
          <w:rFonts w:cs="Times New Roman" w:ascii="Times New Roman" w:hAnsi="Times New Roman"/>
          <w:sz w:val="24"/>
        </w:rPr>
        <w:t>promptly notify of any material litigation or environmental event and provide a description thereof;</w:t>
      </w:r>
    </w:p>
    <w:p>
      <w:pPr>
        <w:pStyle w:val="Body"/>
        <w:numPr>
          <w:ilvl w:val="0"/>
          <w:numId w:val="3"/>
        </w:numPr>
        <w:ind w:hanging="522" w:start="792" w:end="0"/>
        <w:jc w:val="both"/>
        <w:rPr>
          <w:rFonts w:ascii="Times New Roman" w:hAnsi="Times New Roman" w:cs="Times New Roman"/>
          <w:sz w:val="24"/>
        </w:rPr>
      </w:pPr>
      <w:r>
        <w:rPr>
          <w:rFonts w:cs="Times New Roman" w:ascii="Times New Roman" w:hAnsi="Times New Roman"/>
          <w:sz w:val="24"/>
        </w:rPr>
        <w:t>promptly furnish copies of all proxy statements, financial statements and reports sent to stockholders; all periodic and special reports; all registration statements filed with the SEC or other governmental authority or national securities exchange;</w:t>
      </w:r>
    </w:p>
    <w:p>
      <w:pPr>
        <w:pStyle w:val="Body"/>
        <w:numPr>
          <w:ilvl w:val="0"/>
          <w:numId w:val="3"/>
        </w:numPr>
        <w:ind w:hanging="522" w:start="792" w:end="0"/>
        <w:jc w:val="both"/>
        <w:rPr>
          <w:rFonts w:ascii="Times New Roman" w:hAnsi="Times New Roman" w:cs="Times New Roman"/>
          <w:sz w:val="24"/>
        </w:rPr>
      </w:pPr>
      <w:r>
        <w:rPr>
          <w:rFonts w:cs="Times New Roman" w:ascii="Times New Roman" w:hAnsi="Times New Roman"/>
          <w:sz w:val="24"/>
        </w:rPr>
        <w:t>promptly furnish copies of all reports to holders of debt securities;</w:t>
      </w:r>
    </w:p>
    <w:p>
      <w:pPr>
        <w:pStyle w:val="Body"/>
        <w:numPr>
          <w:ilvl w:val="0"/>
          <w:numId w:val="3"/>
        </w:numPr>
        <w:ind w:hanging="522" w:start="792" w:end="0"/>
        <w:jc w:val="both"/>
        <w:rPr>
          <w:rFonts w:ascii="Times New Roman" w:hAnsi="Times New Roman" w:cs="Times New Roman"/>
          <w:sz w:val="24"/>
        </w:rPr>
      </w:pPr>
      <w:r>
        <w:rPr>
          <w:rFonts w:cs="Times New Roman" w:ascii="Times New Roman" w:hAnsi="Times New Roman"/>
          <w:sz w:val="24"/>
        </w:rPr>
        <w:t>promptly furnish copies of all Revenue Agent reports that adjust tax liability by $10 million or more;</w:t>
      </w:r>
    </w:p>
    <w:p>
      <w:pPr>
        <w:pStyle w:val="Body"/>
        <w:numPr>
          <w:ilvl w:val="0"/>
          <w:numId w:val="3"/>
        </w:numPr>
        <w:ind w:hanging="522" w:start="792" w:end="0"/>
        <w:jc w:val="both"/>
        <w:rPr>
          <w:rFonts w:ascii="Times New Roman" w:hAnsi="Times New Roman" w:cs="Times New Roman"/>
          <w:sz w:val="24"/>
        </w:rPr>
      </w:pPr>
      <w:r>
        <w:rPr>
          <w:rFonts w:cs="Times New Roman" w:ascii="Times New Roman" w:hAnsi="Times New Roman"/>
          <w:sz w:val="24"/>
        </w:rPr>
        <w:t>provide a tax certificate stating that all Federal income taxes have been paid;</w:t>
      </w:r>
    </w:p>
    <w:p>
      <w:pPr>
        <w:pStyle w:val="Body"/>
        <w:numPr>
          <w:ilvl w:val="0"/>
          <w:numId w:val="3"/>
        </w:numPr>
        <w:ind w:hanging="522" w:start="792" w:end="0"/>
        <w:jc w:val="both"/>
        <w:rPr>
          <w:rFonts w:ascii="Times New Roman" w:hAnsi="Times New Roman" w:cs="Times New Roman"/>
          <w:sz w:val="24"/>
        </w:rPr>
      </w:pPr>
      <w:r>
        <w:rPr>
          <w:rFonts w:cs="Times New Roman" w:ascii="Times New Roman" w:hAnsi="Times New Roman"/>
          <w:sz w:val="24"/>
        </w:rPr>
        <w:t xml:space="preserve">provide, within 30 days, copies of: (i) </w:t>
      </w:r>
      <w:r>
        <w:rPr>
          <w:rFonts w:cs="Times New Roman" w:ascii="Times New Roman" w:hAnsi="Times New Roman"/>
          <w:b/>
          <w:bCs/>
          <w:sz w:val="24"/>
        </w:rPr>
        <w:t>any new contract with an affiliate</w:t>
      </w:r>
      <w:r>
        <w:rPr>
          <w:rFonts w:cs="Times New Roman" w:ascii="Times New Roman" w:hAnsi="Times New Roman"/>
          <w:sz w:val="24"/>
        </w:rPr>
        <w:t xml:space="preserve"> (direct or indirect ownership or voting rights of 5% or more of outstanding capital stock or other equity interest), (ii) </w:t>
      </w:r>
      <w:r>
        <w:rPr>
          <w:rFonts w:cs="Times New Roman" w:ascii="Times New Roman" w:hAnsi="Times New Roman"/>
          <w:b/>
          <w:bCs/>
          <w:sz w:val="24"/>
        </w:rPr>
        <w:t>any new material contract</w:t>
      </w:r>
      <w:r>
        <w:rPr>
          <w:rFonts w:cs="Times New Roman" w:ascii="Times New Roman" w:hAnsi="Times New Roman"/>
          <w:sz w:val="24"/>
        </w:rPr>
        <w:t xml:space="preserve"> [a contract with revenues of $5 million or more per year] or a summary of any new terms to a material contract containing confidentiality provisions; (iii) </w:t>
      </w:r>
      <w:r>
        <w:rPr>
          <w:rFonts w:cs="Times New Roman" w:ascii="Times New Roman" w:hAnsi="Times New Roman"/>
          <w:b/>
          <w:bCs/>
          <w:sz w:val="24"/>
        </w:rPr>
        <w:t>material modifications to any of such contracts</w:t>
      </w:r>
      <w:r>
        <w:rPr>
          <w:rFonts w:cs="Times New Roman" w:ascii="Times New Roman" w:hAnsi="Times New Roman"/>
          <w:sz w:val="24"/>
        </w:rPr>
        <w:t>; and (iv) any notice received from any counter-party to an affiliate contract or a material contract;</w:t>
      </w:r>
    </w:p>
    <w:p>
      <w:pPr>
        <w:pStyle w:val="Body"/>
        <w:numPr>
          <w:ilvl w:val="0"/>
          <w:numId w:val="3"/>
        </w:numPr>
        <w:ind w:hanging="522" w:start="792" w:end="0"/>
        <w:jc w:val="both"/>
        <w:rPr>
          <w:rFonts w:ascii="Times New Roman" w:hAnsi="Times New Roman" w:cs="Times New Roman"/>
          <w:sz w:val="24"/>
        </w:rPr>
      </w:pPr>
      <w:r>
        <w:rPr>
          <w:rFonts w:cs="Times New Roman" w:ascii="Times New Roman" w:hAnsi="Times New Roman"/>
          <w:sz w:val="24"/>
        </w:rPr>
        <w:t>promptly provide notice of any event that may result in the receipt of insurance proceeds in excess of $1 million, together with a statement setting forth the details of the event;</w:t>
      </w:r>
    </w:p>
    <w:p>
      <w:pPr>
        <w:pStyle w:val="Body"/>
        <w:numPr>
          <w:ilvl w:val="0"/>
          <w:numId w:val="3"/>
        </w:numPr>
        <w:ind w:hanging="522" w:start="792" w:end="0"/>
        <w:jc w:val="both"/>
        <w:rPr>
          <w:rFonts w:ascii="Times New Roman" w:hAnsi="Times New Roman" w:cs="Times New Roman"/>
          <w:sz w:val="24"/>
        </w:rPr>
      </w:pPr>
      <w:r>
        <w:rPr>
          <w:rFonts w:cs="Times New Roman" w:ascii="Times New Roman" w:hAnsi="Times New Roman"/>
          <w:sz w:val="24"/>
        </w:rPr>
        <w:t xml:space="preserve">provide any information indicating that any information previously provided to the banks, taken as a whole, was not correct in all material respects on the dates provided, or indicating that such information previously provided contained untrue statements of a material fact or omitted a material fact; </w:t>
      </w:r>
    </w:p>
    <w:p>
      <w:pPr>
        <w:pStyle w:val="Body"/>
        <w:numPr>
          <w:ilvl w:val="0"/>
          <w:numId w:val="3"/>
        </w:numPr>
        <w:ind w:hanging="522" w:start="792" w:end="0"/>
        <w:jc w:val="both"/>
        <w:rPr>
          <w:rFonts w:ascii="Times New Roman" w:hAnsi="Times New Roman" w:cs="Times New Roman"/>
          <w:sz w:val="24"/>
        </w:rPr>
      </w:pPr>
      <w:r>
        <w:rPr>
          <w:rFonts w:cs="Times New Roman" w:ascii="Times New Roman" w:hAnsi="Times New Roman"/>
          <w:sz w:val="24"/>
        </w:rPr>
        <w:t>provide such other information regarding the business, conditions, or operations as the banks may request;</w:t>
      </w:r>
    </w:p>
    <w:p>
      <w:pPr>
        <w:pStyle w:val="Body"/>
        <w:numPr>
          <w:ilvl w:val="0"/>
          <w:numId w:val="3"/>
        </w:numPr>
        <w:ind w:hanging="522" w:start="792" w:end="0"/>
        <w:jc w:val="both"/>
        <w:rPr>
          <w:rFonts w:ascii="Times New Roman" w:hAnsi="Times New Roman" w:cs="Times New Roman"/>
          <w:sz w:val="24"/>
        </w:rPr>
      </w:pPr>
      <w:r>
        <w:rPr>
          <w:rFonts w:cs="Times New Roman" w:ascii="Times New Roman" w:hAnsi="Times New Roman"/>
          <w:sz w:val="24"/>
        </w:rPr>
        <w:t>comply with all laws, rules, regulations, and orders, to the extent non-compliance would likely have a material adverse effect on the Borrower’s business or its properties;</w:t>
      </w:r>
    </w:p>
    <w:p>
      <w:pPr>
        <w:pStyle w:val="Body"/>
        <w:numPr>
          <w:ilvl w:val="0"/>
          <w:numId w:val="3"/>
        </w:numPr>
        <w:ind w:hanging="522" w:start="792" w:end="0"/>
        <w:jc w:val="both"/>
        <w:rPr>
          <w:rFonts w:ascii="Times New Roman" w:hAnsi="Times New Roman" w:cs="Times New Roman"/>
          <w:sz w:val="24"/>
        </w:rPr>
      </w:pPr>
      <w:r>
        <w:rPr>
          <w:rFonts w:cs="Times New Roman" w:ascii="Times New Roman" w:hAnsi="Times New Roman"/>
          <w:sz w:val="24"/>
        </w:rPr>
        <w:t>maintain insurance in amounts as set forth in a schedule;</w:t>
      </w:r>
    </w:p>
    <w:p>
      <w:pPr>
        <w:pStyle w:val="Body"/>
        <w:numPr>
          <w:ilvl w:val="0"/>
          <w:numId w:val="3"/>
        </w:numPr>
        <w:ind w:hanging="522" w:start="792" w:end="0"/>
        <w:jc w:val="both"/>
        <w:rPr>
          <w:rFonts w:ascii="Times New Roman" w:hAnsi="Times New Roman" w:cs="Times New Roman"/>
          <w:sz w:val="24"/>
        </w:rPr>
      </w:pPr>
      <w:r>
        <w:rPr>
          <w:rFonts w:cs="Times New Roman" w:ascii="Times New Roman" w:hAnsi="Times New Roman"/>
          <w:sz w:val="24"/>
        </w:rPr>
        <w:t>preserve and maintain legal existence, rights, and franchises;</w:t>
      </w:r>
    </w:p>
    <w:p>
      <w:pPr>
        <w:pStyle w:val="Body"/>
        <w:numPr>
          <w:ilvl w:val="0"/>
          <w:numId w:val="3"/>
        </w:numPr>
        <w:ind w:hanging="522" w:start="792" w:end="0"/>
        <w:jc w:val="both"/>
        <w:rPr>
          <w:rFonts w:ascii="Times New Roman" w:hAnsi="Times New Roman" w:cs="Times New Roman"/>
          <w:sz w:val="24"/>
        </w:rPr>
      </w:pPr>
      <w:r>
        <w:rPr>
          <w:rFonts w:cs="Times New Roman" w:ascii="Times New Roman" w:hAnsi="Times New Roman"/>
          <w:sz w:val="24"/>
        </w:rPr>
        <w:t xml:space="preserve">allow banks or agent to examine and make copies of the books and records; </w:t>
      </w:r>
    </w:p>
    <w:p>
      <w:pPr>
        <w:pStyle w:val="Body"/>
        <w:numPr>
          <w:ilvl w:val="0"/>
          <w:numId w:val="3"/>
        </w:numPr>
        <w:ind w:hanging="522" w:start="792" w:end="0"/>
        <w:jc w:val="both"/>
        <w:rPr>
          <w:rFonts w:ascii="Times New Roman" w:hAnsi="Times New Roman" w:cs="Times New Roman"/>
          <w:sz w:val="24"/>
        </w:rPr>
      </w:pPr>
      <w:r>
        <w:rPr>
          <w:rFonts w:cs="Times New Roman" w:ascii="Times New Roman" w:hAnsi="Times New Roman"/>
          <w:sz w:val="24"/>
        </w:rPr>
        <w:t>diligently pursue the completion of the Red Rock Expansion (TW);</w:t>
      </w:r>
    </w:p>
    <w:p>
      <w:pPr>
        <w:pStyle w:val="Body"/>
        <w:numPr>
          <w:ilvl w:val="0"/>
          <w:numId w:val="3"/>
        </w:numPr>
        <w:ind w:hanging="522" w:start="792" w:end="0"/>
        <w:jc w:val="both"/>
        <w:rPr>
          <w:rFonts w:ascii="Times New Roman" w:hAnsi="Times New Roman" w:cs="Times New Roman"/>
          <w:sz w:val="24"/>
        </w:rPr>
      </w:pPr>
      <w:r>
        <w:rPr>
          <w:rFonts w:cs="Times New Roman" w:ascii="Times New Roman" w:hAnsi="Times New Roman"/>
          <w:sz w:val="24"/>
        </w:rPr>
        <w:t>give further assurances (and take any steps required to protect the liens granted to the banks or to allow the banks to foreclose on such liens) regarding collateral, as may be requested by banks; and to promptly correct and material defect in any loan document, upon request by banks</w:t>
      </w:r>
    </w:p>
    <w:p>
      <w:pPr>
        <w:pStyle w:val="Body"/>
        <w:numPr>
          <w:ilvl w:val="0"/>
          <w:numId w:val="3"/>
        </w:numPr>
        <w:ind w:hanging="522" w:start="792" w:end="0"/>
        <w:jc w:val="both"/>
        <w:rPr>
          <w:rFonts w:ascii="Times New Roman" w:hAnsi="Times New Roman" w:cs="Times New Roman"/>
          <w:sz w:val="24"/>
        </w:rPr>
      </w:pPr>
      <w:r>
        <w:rPr>
          <w:rFonts w:cs="Times New Roman" w:ascii="Times New Roman" w:hAnsi="Times New Roman"/>
          <w:sz w:val="24"/>
        </w:rPr>
        <w:t>keep books and accounts of all financial transactions, and of the assets and businesses, in accordance with GAAP;</w:t>
      </w:r>
    </w:p>
    <w:p>
      <w:pPr>
        <w:pStyle w:val="Body"/>
        <w:numPr>
          <w:ilvl w:val="0"/>
          <w:numId w:val="3"/>
        </w:numPr>
        <w:ind w:hanging="522" w:start="792" w:end="0"/>
        <w:jc w:val="both"/>
        <w:rPr>
          <w:rFonts w:ascii="Times New Roman" w:hAnsi="Times New Roman" w:cs="Times New Roman"/>
          <w:sz w:val="24"/>
        </w:rPr>
      </w:pPr>
      <w:r>
        <w:rPr>
          <w:rFonts w:cs="Times New Roman" w:ascii="Times New Roman" w:hAnsi="Times New Roman"/>
          <w:sz w:val="24"/>
        </w:rPr>
        <w:t xml:space="preserve">maintain and preserve all its properties used in business, in good working order and condition; </w:t>
      </w:r>
    </w:p>
    <w:p>
      <w:pPr>
        <w:pStyle w:val="Body"/>
        <w:numPr>
          <w:ilvl w:val="0"/>
          <w:numId w:val="3"/>
        </w:numPr>
        <w:ind w:hanging="522" w:start="792" w:end="0"/>
        <w:jc w:val="both"/>
        <w:rPr>
          <w:rFonts w:ascii="Times New Roman" w:hAnsi="Times New Roman" w:cs="Times New Roman"/>
          <w:sz w:val="24"/>
        </w:rPr>
      </w:pPr>
      <w:r>
        <w:rPr>
          <w:rFonts w:cs="Times New Roman" w:ascii="Times New Roman" w:hAnsi="Times New Roman"/>
          <w:sz w:val="24"/>
        </w:rPr>
        <w:t>at request of banks, provide an environmental site assessment report for any property, evaluating site and estimating remediation costs;</w:t>
      </w:r>
    </w:p>
    <w:p>
      <w:pPr>
        <w:pStyle w:val="Body"/>
        <w:numPr>
          <w:ilvl w:val="0"/>
          <w:numId w:val="3"/>
        </w:numPr>
        <w:ind w:hanging="522" w:start="792" w:end="0"/>
        <w:jc w:val="both"/>
        <w:rPr>
          <w:rFonts w:ascii="Times New Roman" w:hAnsi="Times New Roman" w:cs="Times New Roman"/>
          <w:sz w:val="24"/>
        </w:rPr>
      </w:pPr>
      <w:r>
        <w:rPr>
          <w:rFonts w:cs="Times New Roman" w:ascii="Times New Roman" w:hAnsi="Times New Roman"/>
          <w:sz w:val="24"/>
        </w:rPr>
        <w:t>comply with the terms of all leases, to renew any such leases, to not allow any leases to be forfeited or cancelled, unless not expected to result in a material adverse change, and to notify banks of any default by any party;</w:t>
      </w:r>
    </w:p>
    <w:p>
      <w:pPr>
        <w:pStyle w:val="Body"/>
        <w:numPr>
          <w:ilvl w:val="0"/>
          <w:numId w:val="3"/>
        </w:numPr>
        <w:ind w:hanging="522" w:start="792" w:end="0"/>
        <w:jc w:val="both"/>
        <w:rPr>
          <w:rFonts w:ascii="Times New Roman" w:hAnsi="Times New Roman" w:cs="Times New Roman"/>
          <w:sz w:val="24"/>
        </w:rPr>
      </w:pPr>
      <w:r>
        <w:rPr>
          <w:rFonts w:cs="Times New Roman" w:ascii="Times New Roman" w:hAnsi="Times New Roman"/>
          <w:sz w:val="24"/>
        </w:rPr>
        <w:t>maintain lockbox and bank accounts with financial entities acceptable to the banks, and which have accepted the assignment of such accounts to banks as collateral on loans;</w:t>
      </w:r>
    </w:p>
    <w:p>
      <w:pPr>
        <w:pStyle w:val="Body"/>
        <w:numPr>
          <w:ilvl w:val="0"/>
          <w:numId w:val="3"/>
        </w:numPr>
        <w:ind w:hanging="522" w:start="792" w:end="0"/>
        <w:jc w:val="both"/>
        <w:rPr>
          <w:rFonts w:ascii="Times New Roman" w:hAnsi="Times New Roman" w:cs="Times New Roman"/>
          <w:sz w:val="24"/>
        </w:rPr>
      </w:pPr>
      <w:r>
        <w:rPr>
          <w:rFonts w:cs="Times New Roman" w:ascii="Times New Roman" w:hAnsi="Times New Roman"/>
          <w:sz w:val="24"/>
        </w:rPr>
        <w:t>perform and observe the terms of all material contracts; to enforce each such contract in accordance with its terms (if failure to do so could result in a material adverse change), and to request such information and reports from the other party as allowed, at the request of the banks; and</w:t>
      </w:r>
    </w:p>
    <w:p>
      <w:pPr>
        <w:pStyle w:val="Body"/>
        <w:numPr>
          <w:ilvl w:val="0"/>
          <w:numId w:val="3"/>
        </w:numPr>
        <w:ind w:hanging="522" w:start="792" w:end="0"/>
        <w:jc w:val="both"/>
        <w:rPr>
          <w:rFonts w:ascii="Times New Roman" w:hAnsi="Times New Roman" w:cs="Times New Roman"/>
          <w:sz w:val="24"/>
        </w:rPr>
      </w:pPr>
      <w:r>
        <w:rPr>
          <w:rFonts w:cs="Times New Roman" w:ascii="Times New Roman" w:hAnsi="Times New Roman"/>
          <w:sz w:val="24"/>
        </w:rPr>
        <w:t>pay all fees when due under the Voting Trust Agreement, and comply with all terms thereof.</w:t>
      </w:r>
    </w:p>
    <w:p>
      <w:pPr>
        <w:pStyle w:val="Body"/>
        <w:ind w:firstLine="18" w:end="0"/>
        <w:jc w:val="both"/>
        <w:rPr>
          <w:rFonts w:ascii="Times New Roman" w:hAnsi="Times New Roman" w:cs="Times New Roman"/>
          <w:sz w:val="24"/>
        </w:rPr>
      </w:pPr>
      <w:r>
        <w:rPr>
          <w:rFonts w:cs="Times New Roman" w:ascii="Times New Roman" w:hAnsi="Times New Roman"/>
          <w:sz w:val="24"/>
        </w:rPr>
      </w:r>
    </w:p>
    <w:p>
      <w:pPr>
        <w:pStyle w:val="Body"/>
        <w:ind w:firstLine="18" w:end="0"/>
        <w:jc w:val="both"/>
        <w:rPr>
          <w:rFonts w:ascii="Times New Roman" w:hAnsi="Times New Roman" w:cs="Times New Roman"/>
          <w:sz w:val="24"/>
        </w:rPr>
      </w:pPr>
      <w:r>
        <w:rPr>
          <w:rFonts w:cs="Times New Roman" w:ascii="Times New Roman" w:hAnsi="Times New Roman"/>
          <w:sz w:val="24"/>
        </w:rPr>
        <w:t xml:space="preserve">Further, each Borrower has agreed to certain negative covenants and will: </w:t>
      </w:r>
    </w:p>
    <w:p>
      <w:pPr>
        <w:pStyle w:val="Body"/>
        <w:ind w:firstLine="18" w:end="0"/>
        <w:jc w:val="both"/>
        <w:rPr>
          <w:rFonts w:ascii="Times New Roman" w:hAnsi="Times New Roman" w:cs="Times New Roman"/>
          <w:sz w:val="24"/>
        </w:rPr>
      </w:pPr>
      <w:r>
        <w:rPr>
          <w:rFonts w:cs="Times New Roman" w:ascii="Times New Roman" w:hAnsi="Times New Roman"/>
          <w:sz w:val="24"/>
        </w:rPr>
      </w:r>
    </w:p>
    <w:p>
      <w:pPr>
        <w:pStyle w:val="Body"/>
        <w:numPr>
          <w:ilvl w:val="0"/>
          <w:numId w:val="6"/>
        </w:numPr>
        <w:ind w:hanging="540" w:start="810" w:end="0"/>
        <w:jc w:val="both"/>
        <w:rPr>
          <w:rFonts w:ascii="Times New Roman" w:hAnsi="Times New Roman" w:cs="Times New Roman"/>
          <w:sz w:val="24"/>
        </w:rPr>
      </w:pPr>
      <w:r>
        <w:rPr>
          <w:rFonts w:cs="Times New Roman" w:ascii="Times New Roman" w:hAnsi="Times New Roman"/>
          <w:sz w:val="24"/>
        </w:rPr>
        <w:t>not create, incur, assume any debt except for (i) principal and interest on advances under the loan documents; (ii) capitalized leases and purchase money debt, not exceeding 80% of the value of the assets acquired, and not exceeding $50 million in the aggregate at any time; (iii) debt existing on the date of the loan documents; (iv) debt of an entity that becomes a subsidiary after the date of the credit agreement; (v) debt between Borrower and its wholly-owned subsidiaries (which must be evidenced by notes satisfactory to banks, and pledged as security under the Credit Agreement); (vi) interest rate, foreign exchange, and commodity price hedging obligations entered into in the ordinary course of business or in connection with debt permitted by the credit agreement; (vii) commodity options or futures contracts in connection with customary hedging transactions in the ordinary course of business, in which aggregate value at risk (including any margin) for transactions does not exceed $1 million at any time; (viii) capital markets/debt financing transactions (if payment equal to net proceeds is made to banks, to the extent allowed by law), (ix) debt not to exceed $25 million in the aggregate, related to obligations under letters of credit, bank guarantees, and similar documents; and (x) renewals, refinancings, and extensions of existing debt (including the debt incurred under the credit agreement) if the amount does not exceed amount outstanding at the time of refinanced, plus interest outstanding, and reasonable fees and premiums; if no new lien is created under such renewal; (xi) trade payables and liabilities; and (xii) guarantees in amount not to exceed $5 million;</w:t>
      </w:r>
    </w:p>
    <w:p>
      <w:pPr>
        <w:pStyle w:val="Body"/>
        <w:numPr>
          <w:ilvl w:val="0"/>
          <w:numId w:val="6"/>
        </w:numPr>
        <w:ind w:hanging="540" w:start="810" w:end="0"/>
        <w:jc w:val="both"/>
        <w:rPr>
          <w:rFonts w:ascii="Times New Roman" w:hAnsi="Times New Roman" w:cs="Times New Roman"/>
          <w:sz w:val="24"/>
        </w:rPr>
      </w:pPr>
      <w:r>
        <w:rPr>
          <w:rFonts w:cs="Times New Roman" w:ascii="Times New Roman" w:hAnsi="Times New Roman"/>
          <w:b/>
          <w:bCs/>
          <w:sz w:val="24"/>
        </w:rPr>
        <w:t>not make any sale or transfer of Borrower’s property or assets</w:t>
      </w:r>
      <w:r>
        <w:rPr>
          <w:rFonts w:cs="Times New Roman" w:ascii="Times New Roman" w:hAnsi="Times New Roman"/>
          <w:sz w:val="24"/>
        </w:rPr>
        <w:t xml:space="preserve">, </w:t>
      </w:r>
      <w:r>
        <w:rPr>
          <w:rFonts w:cs="Times New Roman" w:ascii="Times New Roman" w:hAnsi="Times New Roman"/>
          <w:b/>
          <w:bCs/>
          <w:sz w:val="24"/>
        </w:rPr>
        <w:t>except</w:t>
      </w:r>
      <w:r>
        <w:rPr>
          <w:rFonts w:cs="Times New Roman" w:ascii="Times New Roman" w:hAnsi="Times New Roman"/>
          <w:sz w:val="24"/>
        </w:rPr>
        <w:t>: (i) excluded assets,</w:t>
      </w:r>
      <w:r>
        <w:rPr>
          <w:rStyle w:val="FootnoteCharacters"/>
          <w:rStyle w:val="FootnoteReference"/>
          <w:rFonts w:cs="Times New Roman" w:ascii="Times New Roman" w:hAnsi="Times New Roman"/>
          <w:sz w:val="24"/>
        </w:rPr>
        <w:footnoteReference w:id="3"/>
      </w:r>
      <w:r>
        <w:rPr>
          <w:rStyle w:val="FootnoteCharacters"/>
          <w:rFonts w:cs="Times New Roman" w:ascii="Times New Roman" w:hAnsi="Times New Roman"/>
          <w:sz w:val="24"/>
        </w:rPr>
        <w:t xml:space="preserve"> </w:t>
      </w:r>
      <w:r>
        <w:rPr>
          <w:rFonts w:cs="Times New Roman" w:ascii="Times New Roman" w:hAnsi="Times New Roman"/>
          <w:sz w:val="24"/>
        </w:rPr>
        <w:t>(ii) equipment that is obsolete or no longer used, sold in ordinary course of business, and (iii) any asset sale for which banks have given prior written consent (and assuming proceeds are paid to banks as per the loan documents);</w:t>
      </w:r>
    </w:p>
    <w:p>
      <w:pPr>
        <w:pStyle w:val="Body"/>
        <w:numPr>
          <w:ilvl w:val="0"/>
          <w:numId w:val="6"/>
        </w:numPr>
        <w:ind w:hanging="540" w:start="810" w:end="0"/>
        <w:jc w:val="both"/>
        <w:rPr>
          <w:rFonts w:ascii="Times New Roman" w:hAnsi="Times New Roman" w:cs="Times New Roman"/>
          <w:sz w:val="24"/>
        </w:rPr>
      </w:pPr>
      <w:r>
        <w:rPr>
          <w:rFonts w:cs="Times New Roman" w:ascii="Times New Roman" w:hAnsi="Times New Roman"/>
          <w:sz w:val="24"/>
        </w:rPr>
        <w:t>not merge or consolidate with or into any entity, unless Borrower is the surviving entity;</w:t>
      </w:r>
    </w:p>
    <w:p>
      <w:pPr>
        <w:pStyle w:val="Body"/>
        <w:numPr>
          <w:ilvl w:val="0"/>
          <w:numId w:val="6"/>
        </w:numPr>
        <w:ind w:hanging="540" w:start="810" w:end="0"/>
        <w:jc w:val="both"/>
        <w:rPr>
          <w:rFonts w:ascii="Times New Roman" w:hAnsi="Times New Roman" w:cs="Times New Roman"/>
          <w:sz w:val="24"/>
        </w:rPr>
      </w:pPr>
      <w:r>
        <w:rPr>
          <w:rFonts w:cs="Times New Roman" w:ascii="Times New Roman" w:hAnsi="Times New Roman"/>
          <w:sz w:val="24"/>
        </w:rPr>
        <w:t>not terminate any ERISA (employee benefit) plan, or permit circumstances that would cause a termination event, so as to result in any liability exceeding $10 million;</w:t>
      </w:r>
    </w:p>
    <w:p>
      <w:pPr>
        <w:pStyle w:val="Body"/>
        <w:numPr>
          <w:ilvl w:val="0"/>
          <w:numId w:val="6"/>
        </w:numPr>
        <w:ind w:hanging="540" w:start="810" w:end="0"/>
        <w:jc w:val="both"/>
        <w:rPr>
          <w:rFonts w:ascii="Times New Roman" w:hAnsi="Times New Roman" w:cs="Times New Roman"/>
          <w:sz w:val="24"/>
        </w:rPr>
      </w:pPr>
      <w:r>
        <w:rPr>
          <w:rFonts w:cs="Times New Roman" w:ascii="Times New Roman" w:hAnsi="Times New Roman"/>
          <w:sz w:val="24"/>
        </w:rPr>
        <w:t>not use proceeds for any purpose other than for working capital and making loans and distributions to Enron, or use proceeds in any manner which would violate any law or regulation or to purchase (or extend credit for purchase of) any margin stock;</w:t>
      </w:r>
    </w:p>
    <w:p>
      <w:pPr>
        <w:pStyle w:val="Body"/>
        <w:numPr>
          <w:ilvl w:val="0"/>
          <w:numId w:val="6"/>
        </w:numPr>
        <w:ind w:hanging="540" w:start="810" w:end="0"/>
        <w:jc w:val="both"/>
        <w:rPr>
          <w:rFonts w:ascii="Times New Roman" w:hAnsi="Times New Roman" w:cs="Times New Roman"/>
          <w:sz w:val="24"/>
        </w:rPr>
      </w:pPr>
      <w:r>
        <w:rPr>
          <w:rFonts w:cs="Times New Roman" w:ascii="Times New Roman" w:hAnsi="Times New Roman"/>
          <w:sz w:val="24"/>
        </w:rPr>
        <w:t>not make any change in the nature of the businesses, if such would result in a material change to the nature of the business;</w:t>
      </w:r>
    </w:p>
    <w:p>
      <w:pPr>
        <w:pStyle w:val="Body"/>
        <w:numPr>
          <w:ilvl w:val="0"/>
          <w:numId w:val="6"/>
        </w:numPr>
        <w:ind w:hanging="540" w:start="810" w:end="0"/>
        <w:jc w:val="both"/>
        <w:rPr>
          <w:rFonts w:ascii="Times New Roman" w:hAnsi="Times New Roman" w:cs="Times New Roman"/>
          <w:sz w:val="24"/>
        </w:rPr>
      </w:pPr>
      <w:r>
        <w:rPr>
          <w:rFonts w:cs="Times New Roman" w:ascii="Times New Roman" w:hAnsi="Times New Roman"/>
          <w:sz w:val="24"/>
        </w:rPr>
        <w:t>not create any encumbrance or restriction on the ability of any subsidiary to pay dividends to, make loans or advances to, or transfer property to, the Borrower;</w:t>
      </w:r>
    </w:p>
    <w:p>
      <w:pPr>
        <w:pStyle w:val="Body"/>
        <w:numPr>
          <w:ilvl w:val="0"/>
          <w:numId w:val="6"/>
        </w:numPr>
        <w:ind w:hanging="540" w:start="810" w:end="0"/>
        <w:jc w:val="both"/>
        <w:rPr>
          <w:rFonts w:ascii="Times New Roman" w:hAnsi="Times New Roman" w:cs="Times New Roman"/>
          <w:sz w:val="24"/>
        </w:rPr>
      </w:pPr>
      <w:r>
        <w:rPr>
          <w:rFonts w:cs="Times New Roman" w:ascii="Times New Roman" w:hAnsi="Times New Roman"/>
          <w:b/>
          <w:bCs/>
          <w:sz w:val="24"/>
        </w:rPr>
        <w:t>not make or permit any transfer, sale, lease, or other disposition of any property to any affiliate, nor make any purchase or acquisition from any affiliate</w:t>
      </w:r>
      <w:r>
        <w:rPr>
          <w:rFonts w:cs="Times New Roman" w:ascii="Times New Roman" w:hAnsi="Times New Roman"/>
          <w:sz w:val="24"/>
        </w:rPr>
        <w:t xml:space="preserve">, or transaction for benefit of any affiliate (including investments with or guaranties of obligations of), </w:t>
      </w:r>
      <w:r>
        <w:rPr>
          <w:rFonts w:cs="Times New Roman" w:ascii="Times New Roman" w:hAnsi="Times New Roman"/>
          <w:b/>
          <w:bCs/>
          <w:sz w:val="24"/>
        </w:rPr>
        <w:t>except</w:t>
      </w:r>
      <w:r>
        <w:rPr>
          <w:rFonts w:cs="Times New Roman" w:ascii="Times New Roman" w:hAnsi="Times New Roman"/>
          <w:sz w:val="24"/>
        </w:rPr>
        <w:t>: (i) where the transaction is at least as advantageous as a third party transaction would be and, if such transactions exceed $20 million on an annual basis, the prior approval of the banks; (ii) where such transactions are not detrimental in any material respect to Borrower; (iii) paying reasonable compensation and making reasonable advances to employees, and making reasonable loans to officers and directors; and (iv) making certain permitted investments and other investments if not materially detrimental to Borrower;</w:t>
      </w:r>
    </w:p>
    <w:p>
      <w:pPr>
        <w:pStyle w:val="Body"/>
        <w:numPr>
          <w:ilvl w:val="0"/>
          <w:numId w:val="6"/>
        </w:numPr>
        <w:ind w:hanging="540" w:start="810" w:end="0"/>
        <w:jc w:val="both"/>
        <w:rPr>
          <w:rFonts w:ascii="Times New Roman" w:hAnsi="Times New Roman" w:cs="Times New Roman"/>
          <w:sz w:val="24"/>
        </w:rPr>
      </w:pPr>
      <w:r>
        <w:rPr>
          <w:rFonts w:cs="Times New Roman" w:ascii="Times New Roman" w:hAnsi="Times New Roman"/>
          <w:sz w:val="24"/>
        </w:rPr>
        <w:t>not make or hold any investments except permitted investments;</w:t>
      </w:r>
    </w:p>
    <w:p>
      <w:pPr>
        <w:pStyle w:val="Body"/>
        <w:numPr>
          <w:ilvl w:val="0"/>
          <w:numId w:val="6"/>
        </w:numPr>
        <w:ind w:hanging="540" w:start="810" w:end="0"/>
        <w:jc w:val="both"/>
        <w:rPr>
          <w:rFonts w:ascii="Times New Roman" w:hAnsi="Times New Roman" w:cs="Times New Roman"/>
          <w:sz w:val="24"/>
        </w:rPr>
      </w:pPr>
      <w:r>
        <w:rPr>
          <w:rFonts w:cs="Times New Roman" w:ascii="Times New Roman" w:hAnsi="Times New Roman"/>
          <w:sz w:val="24"/>
        </w:rPr>
        <w:t>not permit the consolidated tangible net worth to be less than $750 million (TW &amp; NNG);</w:t>
      </w:r>
    </w:p>
    <w:p>
      <w:pPr>
        <w:pStyle w:val="Body"/>
        <w:numPr>
          <w:ilvl w:val="0"/>
          <w:numId w:val="6"/>
        </w:numPr>
        <w:ind w:hanging="540" w:start="810" w:end="0"/>
        <w:jc w:val="both"/>
        <w:rPr>
          <w:rFonts w:ascii="Times New Roman" w:hAnsi="Times New Roman" w:cs="Times New Roman"/>
          <w:sz w:val="24"/>
        </w:rPr>
      </w:pPr>
      <w:r>
        <w:rPr>
          <w:rFonts w:cs="Times New Roman" w:ascii="Times New Roman" w:hAnsi="Times New Roman"/>
          <w:sz w:val="24"/>
        </w:rPr>
        <w:t>not make any restricted payment (dividends, distribution, return of capital, distribution of  assets or equity interests, any inter-company loans or advances to affiliates or investments in any affiliate); provided, such payments may be made to Enron if no event of default has occurred or will occur, if the aggregate amount of the unused commitments is $10 million, or Enron and the Borrower have an investment grade rating;</w:t>
      </w:r>
    </w:p>
    <w:p>
      <w:pPr>
        <w:pStyle w:val="Body"/>
        <w:numPr>
          <w:ilvl w:val="0"/>
          <w:numId w:val="6"/>
        </w:numPr>
        <w:ind w:hanging="540" w:start="810" w:end="0"/>
        <w:jc w:val="both"/>
        <w:rPr>
          <w:rFonts w:ascii="Times New Roman" w:hAnsi="Times New Roman" w:cs="Times New Roman"/>
          <w:sz w:val="24"/>
        </w:rPr>
      </w:pPr>
      <w:r>
        <w:rPr>
          <w:rFonts w:cs="Times New Roman" w:ascii="Times New Roman" w:hAnsi="Times New Roman"/>
          <w:sz w:val="24"/>
        </w:rPr>
        <w:t>not form or acquire any subsidiaries;</w:t>
      </w:r>
    </w:p>
    <w:p>
      <w:pPr>
        <w:pStyle w:val="Body"/>
        <w:numPr>
          <w:ilvl w:val="0"/>
          <w:numId w:val="6"/>
        </w:numPr>
        <w:ind w:hanging="540" w:start="810" w:end="0"/>
        <w:jc w:val="both"/>
        <w:rPr>
          <w:rFonts w:ascii="Times New Roman" w:hAnsi="Times New Roman" w:cs="Times New Roman"/>
          <w:sz w:val="24"/>
        </w:rPr>
      </w:pPr>
      <w:r>
        <w:rPr>
          <w:rFonts w:cs="Times New Roman" w:ascii="Times New Roman" w:hAnsi="Times New Roman"/>
          <w:sz w:val="24"/>
        </w:rPr>
        <w:t>not enter into any agreement (except the credit agreement with the banks) that prohibits the creation of any lien or requiring an obligation to be secured if another obligation is or becomes secured;</w:t>
      </w:r>
    </w:p>
    <w:p>
      <w:pPr>
        <w:pStyle w:val="Body"/>
        <w:numPr>
          <w:ilvl w:val="0"/>
          <w:numId w:val="6"/>
        </w:numPr>
        <w:ind w:hanging="540" w:start="810" w:end="0"/>
        <w:jc w:val="both"/>
        <w:rPr>
          <w:rFonts w:ascii="Times New Roman" w:hAnsi="Times New Roman" w:cs="Times New Roman"/>
          <w:sz w:val="24"/>
        </w:rPr>
      </w:pPr>
      <w:r>
        <w:rPr>
          <w:rFonts w:cs="Times New Roman" w:ascii="Times New Roman" w:hAnsi="Times New Roman"/>
          <w:b/>
          <w:bCs/>
          <w:sz w:val="24"/>
        </w:rPr>
        <w:t>not amend or otherwise modify any affiliate contract</w:t>
      </w:r>
      <w:r>
        <w:rPr>
          <w:rFonts w:cs="Times New Roman" w:ascii="Times New Roman" w:hAnsi="Times New Roman"/>
          <w:sz w:val="24"/>
        </w:rPr>
        <w:t xml:space="preserve"> in such a way as to cause a material adverse change; </w:t>
      </w:r>
      <w:r>
        <w:rPr>
          <w:rFonts w:cs="Times New Roman" w:ascii="Times New Roman" w:hAnsi="Times New Roman"/>
          <w:b/>
          <w:bCs/>
          <w:sz w:val="24"/>
        </w:rPr>
        <w:t>nor amend, modify, cancel, or terminate any material contract</w:t>
      </w:r>
      <w:r>
        <w:rPr>
          <w:rFonts w:cs="Times New Roman" w:ascii="Times New Roman" w:hAnsi="Times New Roman"/>
          <w:sz w:val="24"/>
        </w:rPr>
        <w:t>, or consent to or accept any cancellation or termination thereof; or give any consent or waiver under a material contract, or waive any default or breach of any material contract, or agree to any other change or take any other action that would materially impair the value of the Borrower’s rights thereunder or the rights of the banks;</w:t>
      </w:r>
    </w:p>
    <w:p>
      <w:pPr>
        <w:pStyle w:val="Body"/>
        <w:numPr>
          <w:ilvl w:val="0"/>
          <w:numId w:val="6"/>
        </w:numPr>
        <w:ind w:hanging="540" w:start="810" w:end="0"/>
        <w:jc w:val="both"/>
        <w:rPr>
          <w:rFonts w:ascii="Times New Roman" w:hAnsi="Times New Roman" w:cs="Times New Roman"/>
          <w:sz w:val="24"/>
        </w:rPr>
      </w:pPr>
      <w:r>
        <w:rPr>
          <w:rFonts w:cs="Times New Roman" w:ascii="Times New Roman" w:hAnsi="Times New Roman"/>
          <w:sz w:val="24"/>
        </w:rPr>
        <w:t>not enter into any agreement that could reasonably be expected to cause a material adverse change;</w:t>
      </w:r>
    </w:p>
    <w:p>
      <w:pPr>
        <w:pStyle w:val="Body"/>
        <w:numPr>
          <w:ilvl w:val="0"/>
          <w:numId w:val="6"/>
        </w:numPr>
        <w:ind w:hanging="540" w:start="810" w:end="0"/>
        <w:jc w:val="both"/>
        <w:rPr>
          <w:rFonts w:ascii="Times New Roman" w:hAnsi="Times New Roman" w:cs="Times New Roman"/>
          <w:sz w:val="24"/>
        </w:rPr>
      </w:pPr>
      <w:r>
        <w:rPr>
          <w:rFonts w:cs="Times New Roman" w:ascii="Times New Roman" w:hAnsi="Times New Roman"/>
          <w:sz w:val="24"/>
        </w:rPr>
        <w:t>not amend, modify, or supplement its articles of incorporation;</w:t>
      </w:r>
    </w:p>
    <w:p>
      <w:pPr>
        <w:pStyle w:val="Body"/>
        <w:numPr>
          <w:ilvl w:val="0"/>
          <w:numId w:val="6"/>
        </w:numPr>
        <w:ind w:hanging="540" w:start="810" w:end="0"/>
        <w:jc w:val="both"/>
        <w:rPr>
          <w:rFonts w:ascii="Times New Roman" w:hAnsi="Times New Roman" w:cs="Times New Roman"/>
          <w:sz w:val="24"/>
        </w:rPr>
      </w:pPr>
      <w:r>
        <w:rPr>
          <w:rFonts w:cs="Times New Roman" w:ascii="Times New Roman" w:hAnsi="Times New Roman"/>
          <w:sz w:val="24"/>
        </w:rPr>
        <w:t>not make any change in accounting principles or reporting practices, except as required by GAAP;</w:t>
      </w:r>
    </w:p>
    <w:p>
      <w:pPr>
        <w:pStyle w:val="Body"/>
        <w:numPr>
          <w:ilvl w:val="0"/>
          <w:numId w:val="6"/>
        </w:numPr>
        <w:ind w:hanging="540" w:start="810" w:end="0"/>
        <w:jc w:val="both"/>
        <w:rPr>
          <w:rFonts w:ascii="Times New Roman" w:hAnsi="Times New Roman" w:cs="Times New Roman"/>
          <w:sz w:val="24"/>
        </w:rPr>
      </w:pPr>
      <w:r>
        <w:rPr>
          <w:rFonts w:cs="Times New Roman" w:ascii="Times New Roman" w:hAnsi="Times New Roman"/>
          <w:sz w:val="24"/>
        </w:rPr>
        <w:t xml:space="preserve">not modify or change any term or condition of any debt; and not prepay, redeem, purchase, or otherwise satisfy prior to maturity, any debt, nor make any payment in violation of the terms of any debt, </w:t>
      </w:r>
      <w:r>
        <w:rPr>
          <w:rFonts w:cs="Times New Roman" w:ascii="Times New Roman" w:hAnsi="Times New Roman"/>
          <w:b/>
          <w:bCs/>
          <w:sz w:val="24"/>
        </w:rPr>
        <w:t>except</w:t>
      </w:r>
      <w:r>
        <w:rPr>
          <w:rFonts w:cs="Times New Roman" w:ascii="Times New Roman" w:hAnsi="Times New Roman"/>
          <w:sz w:val="24"/>
        </w:rPr>
        <w:t>: (i) prepayment of advances under the credit agreement, (ii) regularly scheduled repayments of debt, as scheduled, or (iii) prepayments where the aggregate does not exceed $1 million;</w:t>
      </w:r>
    </w:p>
    <w:p>
      <w:pPr>
        <w:pStyle w:val="Body"/>
        <w:numPr>
          <w:ilvl w:val="0"/>
          <w:numId w:val="6"/>
        </w:numPr>
        <w:ind w:hanging="540" w:start="810" w:end="0"/>
        <w:jc w:val="both"/>
        <w:rPr>
          <w:rFonts w:ascii="Times New Roman" w:hAnsi="Times New Roman" w:cs="Times New Roman"/>
          <w:sz w:val="24"/>
        </w:rPr>
      </w:pPr>
      <w:r>
        <w:rPr>
          <w:rFonts w:cs="Times New Roman" w:ascii="Times New Roman" w:hAnsi="Times New Roman"/>
          <w:sz w:val="24"/>
        </w:rPr>
        <w:t>not become a general partner in any general or limited partnership or joint venture;</w:t>
      </w:r>
    </w:p>
    <w:p>
      <w:pPr>
        <w:pStyle w:val="Body"/>
        <w:numPr>
          <w:ilvl w:val="0"/>
          <w:numId w:val="6"/>
        </w:numPr>
        <w:ind w:hanging="540" w:start="810" w:end="0"/>
        <w:jc w:val="both"/>
        <w:rPr>
          <w:rFonts w:ascii="Times New Roman" w:hAnsi="Times New Roman" w:cs="Times New Roman"/>
          <w:sz w:val="24"/>
        </w:rPr>
      </w:pPr>
      <w:r>
        <w:rPr>
          <w:rFonts w:cs="Times New Roman" w:ascii="Times New Roman" w:hAnsi="Times New Roman"/>
          <w:sz w:val="24"/>
        </w:rPr>
        <w:t>not maintain accounts with any financial institutions (other than permitted account banks) if the aggregate balances of all such accounts (in non-permitted account banks) exceeds $500 thousand on any business day; and</w:t>
      </w:r>
    </w:p>
    <w:p>
      <w:pPr>
        <w:pStyle w:val="Body"/>
        <w:numPr>
          <w:ilvl w:val="0"/>
          <w:numId w:val="6"/>
        </w:numPr>
        <w:ind w:hanging="540" w:start="810" w:end="0"/>
        <w:jc w:val="both"/>
        <w:rPr>
          <w:rFonts w:ascii="Times New Roman" w:hAnsi="Times New Roman" w:cs="Times New Roman"/>
          <w:sz w:val="24"/>
        </w:rPr>
      </w:pPr>
      <w:r>
        <w:rPr>
          <w:rFonts w:cs="Times New Roman" w:ascii="Times New Roman" w:hAnsi="Times New Roman"/>
          <w:sz w:val="24"/>
        </w:rPr>
        <w:t>not issue or authorize issuance of any new capital stock or other equity of Borrower.</w:t>
      </w:r>
    </w:p>
    <w:p>
      <w:pPr>
        <w:pStyle w:val="Body"/>
        <w:ind w:start="0" w:end="0"/>
        <w:jc w:val="both"/>
        <w:rPr>
          <w:rFonts w:ascii="Times New Roman" w:hAnsi="Times New Roman" w:cs="Times New Roman"/>
          <w:sz w:val="28"/>
        </w:rPr>
      </w:pPr>
      <w:r>
        <w:rPr>
          <w:rFonts w:cs="Times New Roman" w:ascii="Times New Roman" w:hAnsi="Times New Roman"/>
          <w:sz w:val="28"/>
        </w:rPr>
      </w:r>
    </w:p>
    <w:p>
      <w:pPr>
        <w:pStyle w:val="Body"/>
        <w:spacing w:before="0" w:after="120"/>
        <w:ind w:start="0" w:end="0"/>
        <w:jc w:val="both"/>
        <w:rPr>
          <w:rFonts w:ascii="Times New Roman" w:hAnsi="Times New Roman" w:cs="Times New Roman"/>
          <w:b/>
          <w:bCs/>
          <w:sz w:val="24"/>
        </w:rPr>
      </w:pPr>
      <w:r>
        <w:rPr>
          <w:rFonts w:cs="Times New Roman" w:ascii="Times New Roman" w:hAnsi="Times New Roman"/>
          <w:b/>
          <w:bCs/>
          <w:sz w:val="24"/>
        </w:rPr>
        <w:t>Separateness Agreement</w:t>
      </w:r>
    </w:p>
    <w:p>
      <w:pPr>
        <w:pStyle w:val="Body"/>
        <w:spacing w:before="0" w:after="120"/>
        <w:ind w:start="0" w:end="0"/>
        <w:jc w:val="both"/>
        <w:rPr>
          <w:rFonts w:ascii="Times New Roman" w:hAnsi="Times New Roman" w:cs="Times New Roman"/>
          <w:sz w:val="24"/>
        </w:rPr>
      </w:pPr>
      <w:r>
        <w:rPr>
          <w:rFonts w:cs="Times New Roman" w:ascii="Times New Roman" w:hAnsi="Times New Roman"/>
          <w:sz w:val="24"/>
        </w:rPr>
        <w:t>In addition, Enron Transportation Services Co. (“ETSC”) has agreed to do the following, relative to its business and that of its subsidiaries, as well as all accounts and records:</w:t>
      </w:r>
    </w:p>
    <w:p>
      <w:pPr>
        <w:pStyle w:val="Body"/>
        <w:numPr>
          <w:ilvl w:val="0"/>
          <w:numId w:val="2"/>
        </w:numPr>
        <w:ind w:hanging="522" w:start="792" w:end="0"/>
        <w:jc w:val="both"/>
        <w:rPr>
          <w:rFonts w:ascii="Times New Roman" w:hAnsi="Times New Roman" w:cs="Times New Roman"/>
          <w:sz w:val="24"/>
        </w:rPr>
      </w:pPr>
      <w:r>
        <w:rPr>
          <w:rFonts w:cs="Times New Roman" w:ascii="Times New Roman" w:hAnsi="Times New Roman"/>
          <w:sz w:val="24"/>
        </w:rPr>
        <w:t>except for participation in the Enron Cash Management Program (“ECMP”), maintain its respective books, financial records, and accounts separate from any other Enron entities;</w:t>
      </w:r>
    </w:p>
    <w:p>
      <w:pPr>
        <w:pStyle w:val="Body"/>
        <w:numPr>
          <w:ilvl w:val="0"/>
          <w:numId w:val="2"/>
        </w:numPr>
        <w:ind w:hanging="522" w:start="792" w:end="0"/>
        <w:jc w:val="both"/>
        <w:rPr>
          <w:rFonts w:ascii="Times New Roman" w:hAnsi="Times New Roman" w:cs="Times New Roman"/>
          <w:sz w:val="24"/>
        </w:rPr>
      </w:pPr>
      <w:r>
        <w:rPr>
          <w:rFonts w:cs="Times New Roman" w:ascii="Times New Roman" w:hAnsi="Times New Roman"/>
          <w:sz w:val="24"/>
        </w:rPr>
        <w:t>maintain its respective books, financial records, and general ledger accounts so that it will not be difficult or costly to identify ETSC entities’ assets and liabilities separate from those of Enron entities;</w:t>
      </w:r>
    </w:p>
    <w:p>
      <w:pPr>
        <w:pStyle w:val="Body"/>
        <w:numPr>
          <w:ilvl w:val="0"/>
          <w:numId w:val="2"/>
        </w:numPr>
        <w:ind w:hanging="522" w:start="792" w:end="0"/>
        <w:jc w:val="both"/>
        <w:rPr>
          <w:rFonts w:ascii="Times New Roman" w:hAnsi="Times New Roman" w:cs="Times New Roman"/>
          <w:sz w:val="24"/>
        </w:rPr>
      </w:pPr>
      <w:r>
        <w:rPr>
          <w:rFonts w:cs="Times New Roman" w:ascii="Times New Roman" w:hAnsi="Times New Roman"/>
          <w:sz w:val="24"/>
        </w:rPr>
        <w:t>except for participation in the ECMP, to not commingle any of ETSC entities’ assets, funds, or liabilities with those of any Enron entity;</w:t>
      </w:r>
    </w:p>
    <w:p>
      <w:pPr>
        <w:pStyle w:val="Body"/>
        <w:numPr>
          <w:ilvl w:val="0"/>
          <w:numId w:val="2"/>
        </w:numPr>
        <w:ind w:hanging="522" w:start="792" w:end="0"/>
        <w:jc w:val="both"/>
        <w:rPr>
          <w:rFonts w:ascii="Times New Roman" w:hAnsi="Times New Roman" w:cs="Times New Roman"/>
          <w:sz w:val="24"/>
        </w:rPr>
      </w:pPr>
      <w:r>
        <w:rPr>
          <w:rFonts w:cs="Times New Roman" w:ascii="Times New Roman" w:hAnsi="Times New Roman"/>
          <w:sz w:val="24"/>
        </w:rPr>
        <w:t>observe all required corporate procedures and formalities (e.g., holding of annual meetings of shareholders and directors, regular director meetings, recording minutes, etc.);</w:t>
      </w:r>
    </w:p>
    <w:p>
      <w:pPr>
        <w:pStyle w:val="Body"/>
        <w:numPr>
          <w:ilvl w:val="0"/>
          <w:numId w:val="2"/>
        </w:numPr>
        <w:ind w:hanging="522" w:start="792" w:end="0"/>
        <w:jc w:val="both"/>
        <w:rPr>
          <w:rFonts w:ascii="Times New Roman" w:hAnsi="Times New Roman" w:cs="Times New Roman"/>
          <w:sz w:val="24"/>
        </w:rPr>
      </w:pPr>
      <w:r>
        <w:rPr>
          <w:rFonts w:cs="Times New Roman" w:ascii="Times New Roman" w:hAnsi="Times New Roman"/>
          <w:sz w:val="24"/>
        </w:rPr>
        <w:t>not merge or consolidate with any Enron entity, except for reporting and tax purposes;</w:t>
      </w:r>
    </w:p>
    <w:p>
      <w:pPr>
        <w:pStyle w:val="Body"/>
        <w:numPr>
          <w:ilvl w:val="0"/>
          <w:numId w:val="2"/>
        </w:numPr>
        <w:ind w:hanging="522" w:start="792" w:end="0"/>
        <w:jc w:val="both"/>
        <w:rPr>
          <w:rFonts w:ascii="Times New Roman" w:hAnsi="Times New Roman" w:cs="Times New Roman"/>
          <w:sz w:val="24"/>
        </w:rPr>
      </w:pPr>
      <w:r>
        <w:rPr>
          <w:rFonts w:cs="Times New Roman" w:ascii="Times New Roman" w:hAnsi="Times New Roman"/>
          <w:b/>
          <w:bCs/>
          <w:sz w:val="24"/>
        </w:rPr>
        <w:t>conduct all transactions between ETSC entities and other Enron entities so as to not cause confusion as to the separate identity and existence of ETSC entities from any other Enron entities</w:t>
      </w:r>
      <w:r>
        <w:rPr>
          <w:rFonts w:cs="Times New Roman" w:ascii="Times New Roman" w:hAnsi="Times New Roman"/>
          <w:sz w:val="24"/>
        </w:rPr>
        <w:t>;</w:t>
      </w:r>
    </w:p>
    <w:p>
      <w:pPr>
        <w:pStyle w:val="Body"/>
        <w:numPr>
          <w:ilvl w:val="0"/>
          <w:numId w:val="2"/>
        </w:numPr>
        <w:ind w:hanging="522" w:start="792" w:end="0"/>
        <w:jc w:val="both"/>
        <w:rPr>
          <w:rFonts w:ascii="Times New Roman" w:hAnsi="Times New Roman" w:cs="Times New Roman"/>
          <w:sz w:val="24"/>
        </w:rPr>
      </w:pPr>
      <w:r>
        <w:rPr>
          <w:rFonts w:cs="Times New Roman" w:ascii="Times New Roman" w:hAnsi="Times New Roman"/>
          <w:sz w:val="24"/>
        </w:rPr>
        <w:t>conduct all transactions between ETSC entities and third parties in the appropriate ETSC or a subsidiary’s name, so as to not cause confusion as to the separate identity of any other Enron party;</w:t>
      </w:r>
    </w:p>
    <w:p>
      <w:pPr>
        <w:pStyle w:val="Body"/>
        <w:numPr>
          <w:ilvl w:val="0"/>
          <w:numId w:val="2"/>
        </w:numPr>
        <w:ind w:hanging="522" w:start="792" w:end="0"/>
        <w:jc w:val="both"/>
        <w:rPr>
          <w:rFonts w:ascii="Times New Roman" w:hAnsi="Times New Roman" w:cs="Times New Roman"/>
          <w:sz w:val="24"/>
        </w:rPr>
      </w:pPr>
      <w:r>
        <w:rPr>
          <w:rFonts w:cs="Times New Roman" w:ascii="Times New Roman" w:hAnsi="Times New Roman"/>
          <w:sz w:val="24"/>
        </w:rPr>
        <w:t>except for payments under the loans and participation in the ECMP, pay all ETSC liabilities and losses from ETSC assets, with Enron entities paying their liabilities and losses from their assets;</w:t>
      </w:r>
    </w:p>
    <w:p>
      <w:pPr>
        <w:pStyle w:val="Body"/>
        <w:numPr>
          <w:ilvl w:val="0"/>
          <w:numId w:val="2"/>
        </w:numPr>
        <w:ind w:hanging="522" w:start="792" w:end="0"/>
        <w:jc w:val="both"/>
        <w:rPr>
          <w:rFonts w:ascii="Times New Roman" w:hAnsi="Times New Roman" w:cs="Times New Roman"/>
          <w:sz w:val="24"/>
        </w:rPr>
      </w:pPr>
      <w:r>
        <w:rPr>
          <w:rFonts w:cs="Times New Roman" w:ascii="Times New Roman" w:hAnsi="Times New Roman"/>
          <w:b/>
          <w:bCs/>
          <w:sz w:val="24"/>
        </w:rPr>
        <w:t>agents and representatives of ETSC entities, when acting on behalf of any ETSC entity (regardless of whether they are employees of any other Enron entity), will hold themselves out to third parties as acting on behalf of ETSC entities and not of any other Enron entity, and will use business cards, letterhead, invoices, etc. of ETSC entities</w:t>
      </w:r>
      <w:r>
        <w:rPr>
          <w:rFonts w:cs="Times New Roman" w:ascii="Times New Roman" w:hAnsi="Times New Roman"/>
          <w:sz w:val="24"/>
        </w:rPr>
        <w:t>;</w:t>
      </w:r>
    </w:p>
    <w:p>
      <w:pPr>
        <w:pStyle w:val="Body"/>
        <w:numPr>
          <w:ilvl w:val="0"/>
          <w:numId w:val="2"/>
        </w:numPr>
        <w:ind w:hanging="522" w:start="792" w:end="0"/>
        <w:jc w:val="both"/>
        <w:rPr>
          <w:rFonts w:ascii="Times New Roman" w:hAnsi="Times New Roman" w:cs="Times New Roman"/>
          <w:sz w:val="24"/>
        </w:rPr>
      </w:pPr>
      <w:r>
        <w:rPr>
          <w:rFonts w:cs="Times New Roman" w:ascii="Times New Roman" w:hAnsi="Times New Roman"/>
          <w:sz w:val="24"/>
        </w:rPr>
        <w:t>except for payments under the loans and participation in the ECMP, pay for all agents, consultants, and contractors from ETSC funds, with Enron entities paying for its agents, consultants, and contractors from Enron funds;</w:t>
      </w:r>
    </w:p>
    <w:p>
      <w:pPr>
        <w:pStyle w:val="Body"/>
        <w:numPr>
          <w:ilvl w:val="0"/>
          <w:numId w:val="2"/>
        </w:numPr>
        <w:ind w:hanging="522" w:start="792" w:end="0"/>
        <w:jc w:val="both"/>
        <w:rPr>
          <w:rFonts w:ascii="Times New Roman" w:hAnsi="Times New Roman" w:cs="Times New Roman"/>
          <w:sz w:val="24"/>
        </w:rPr>
      </w:pPr>
      <w:r>
        <w:rPr>
          <w:rFonts w:cs="Times New Roman" w:ascii="Times New Roman" w:hAnsi="Times New Roman"/>
          <w:sz w:val="24"/>
        </w:rPr>
        <w:t>to the extent that ETSC entities and any other Enron entities jointly contract with third party vendors or service providers, or share overhead expenses, the costs for such will be fairly allocated, so that each entity bears its fair share of such costs, and/or so that allocations are based on the benefits provided (if benefits in a transaction accrue to more than one party);</w:t>
      </w:r>
    </w:p>
    <w:p>
      <w:pPr>
        <w:pStyle w:val="Body"/>
        <w:numPr>
          <w:ilvl w:val="0"/>
          <w:numId w:val="2"/>
        </w:numPr>
        <w:ind w:hanging="522" w:start="792" w:end="0"/>
        <w:jc w:val="both"/>
        <w:rPr>
          <w:rFonts w:ascii="Times New Roman" w:hAnsi="Times New Roman" w:cs="Times New Roman"/>
          <w:sz w:val="24"/>
        </w:rPr>
      </w:pPr>
      <w:r>
        <w:rPr>
          <w:rFonts w:cs="Times New Roman" w:ascii="Times New Roman" w:hAnsi="Times New Roman"/>
          <w:sz w:val="24"/>
        </w:rPr>
        <w:t>no ETSC entity will make any loans, advances, guarantees, advances of credit, or dividends to any other Enron entity, without proper documentation, and accounting under GAAP and in accordance with the provisions of the loan agreements; and</w:t>
      </w:r>
    </w:p>
    <w:p>
      <w:pPr>
        <w:pStyle w:val="Body"/>
        <w:numPr>
          <w:ilvl w:val="0"/>
          <w:numId w:val="2"/>
        </w:numPr>
        <w:ind w:hanging="522" w:start="792" w:end="0"/>
        <w:jc w:val="both"/>
        <w:rPr>
          <w:rFonts w:ascii="Times New Roman" w:hAnsi="Times New Roman" w:cs="Times New Roman"/>
          <w:sz w:val="24"/>
        </w:rPr>
      </w:pPr>
      <w:r>
        <w:rPr>
          <w:rFonts w:cs="Times New Roman" w:ascii="Times New Roman" w:hAnsi="Times New Roman"/>
          <w:b/>
          <w:bCs/>
          <w:sz w:val="24"/>
        </w:rPr>
        <w:t>no ETSC entity will refer to itself as a department or division of any Enron entity</w:t>
      </w:r>
      <w:r>
        <w:rPr>
          <w:rFonts w:cs="Times New Roman" w:ascii="Times New Roman" w:hAnsi="Times New Roman"/>
          <w:sz w:val="24"/>
        </w:rPr>
        <w:t>; no Enron entity will refer to itself as a department or division of any ETSC entity.</w:t>
      </w:r>
    </w:p>
    <w:p>
      <w:pPr>
        <w:pStyle w:val="Body"/>
        <w:ind w:start="0" w:end="0"/>
        <w:jc w:val="both"/>
        <w:rPr>
          <w:rFonts w:ascii="Times New Roman" w:hAnsi="Times New Roman" w:cs="Times New Roman"/>
          <w:sz w:val="24"/>
        </w:rPr>
      </w:pPr>
      <w:r>
        <w:rPr>
          <w:rFonts w:cs="Times New Roman" w:ascii="Times New Roman" w:hAnsi="Times New Roman"/>
          <w:sz w:val="24"/>
        </w:rPr>
      </w:r>
    </w:p>
    <w:p>
      <w:pPr>
        <w:pStyle w:val="Body"/>
        <w:spacing w:before="0" w:after="120"/>
        <w:ind w:start="0" w:end="0"/>
        <w:rPr>
          <w:rFonts w:ascii="Times New Roman" w:hAnsi="Times New Roman" w:cs="Times New Roman"/>
          <w:b/>
          <w:bCs/>
          <w:sz w:val="24"/>
        </w:rPr>
      </w:pPr>
      <w:r>
        <w:rPr>
          <w:rFonts w:cs="Times New Roman" w:ascii="Times New Roman" w:hAnsi="Times New Roman"/>
          <w:b/>
          <w:bCs/>
          <w:sz w:val="24"/>
        </w:rPr>
        <w:t>Antitrust Matters</w:t>
      </w:r>
    </w:p>
    <w:p>
      <w:pPr>
        <w:pStyle w:val="Body"/>
        <w:ind w:start="0" w:end="0"/>
        <w:jc w:val="both"/>
        <w:rPr/>
      </w:pPr>
      <w:r>
        <w:rPr>
          <w:rStyle w:val="VEItalic"/>
          <w:rFonts w:cs="Times New Roman" w:ascii="Times New Roman" w:hAnsi="Times New Roman"/>
          <w:i w:val="false"/>
          <w:iCs/>
          <w:sz w:val="24"/>
        </w:rPr>
        <w:t xml:space="preserve">Generally (except for possibly exchanging some due diligence or other information necessary for closing the transaction), </w:t>
      </w:r>
      <w:r>
        <w:rPr>
          <w:rStyle w:val="VEItalic"/>
          <w:rFonts w:cs="Times New Roman" w:ascii="Times New Roman" w:hAnsi="Times New Roman"/>
          <w:b/>
          <w:bCs/>
          <w:i w:val="false"/>
          <w:iCs/>
          <w:sz w:val="24"/>
        </w:rPr>
        <w:t>we should operate as if the merger was not pending</w:t>
      </w:r>
      <w:r>
        <w:rPr>
          <w:rStyle w:val="VEItalic"/>
          <w:rFonts w:cs="Times New Roman" w:ascii="Times New Roman" w:hAnsi="Times New Roman"/>
          <w:i w:val="false"/>
          <w:iCs/>
          <w:sz w:val="24"/>
        </w:rPr>
        <w:t xml:space="preserve">.   We should not exchange information that relates to </w:t>
      </w:r>
      <w:r>
        <w:rPr>
          <w:rFonts w:cs="Times New Roman" w:ascii="Times New Roman" w:hAnsi="Times New Roman"/>
          <w:sz w:val="24"/>
        </w:rPr>
        <w:t>pricing/future rates, future output decisions/capacity, future bids, future purchasing decisions, or future marketing plans/expansions or conduct with customers, as such exchanges will be severely scrutinized and likely found to be an antitrust violation.  We should not jointly conduct business (e.g., bids, purchases, share credit info., discuss not doing business with certain customers, etc.), attend each other’s meetings, or copy Dynegy people on memos relating to our business.  The best way to deal with information requests from Dynegy is to check with the Legal Department before sending information.</w:t>
      </w:r>
    </w:p>
    <w:p>
      <w:pPr>
        <w:pStyle w:val="Body"/>
        <w:ind w:start="0" w:end="0"/>
        <w:jc w:val="both"/>
        <w:rPr>
          <w:rFonts w:ascii="Times New Roman" w:hAnsi="Times New Roman" w:cs="Times New Roman"/>
          <w:sz w:val="28"/>
        </w:rPr>
      </w:pPr>
      <w:r>
        <w:rPr>
          <w:rFonts w:cs="Times New Roman" w:ascii="Times New Roman" w:hAnsi="Times New Roman"/>
          <w:sz w:val="28"/>
        </w:rPr>
      </w:r>
    </w:p>
    <w:p>
      <w:pPr>
        <w:pStyle w:val="Body"/>
        <w:spacing w:before="0" w:after="120"/>
        <w:ind w:start="0" w:end="0"/>
        <w:jc w:val="both"/>
        <w:rPr>
          <w:rFonts w:ascii="Times New Roman" w:hAnsi="Times New Roman" w:cs="Times New Roman"/>
          <w:b/>
          <w:bCs/>
          <w:sz w:val="24"/>
        </w:rPr>
      </w:pPr>
      <w:r>
        <w:rPr>
          <w:rFonts w:cs="Times New Roman" w:ascii="Times New Roman" w:hAnsi="Times New Roman"/>
          <w:b/>
          <w:bCs/>
          <w:sz w:val="24"/>
        </w:rPr>
        <w:t>Marketing Affiliate Matters</w:t>
      </w:r>
    </w:p>
    <w:p>
      <w:pPr>
        <w:pStyle w:val="Body"/>
        <w:ind w:start="0" w:end="0"/>
        <w:jc w:val="both"/>
        <w:rPr/>
      </w:pPr>
      <w:r>
        <w:rPr>
          <w:rFonts w:cs="Times New Roman" w:ascii="Times New Roman" w:hAnsi="Times New Roman"/>
          <w:sz w:val="24"/>
        </w:rPr>
        <w:t>Dynegy’s ownership of preferred stock in NNG does not allow it any right to vote; thus, it cannot direct management or policies of the company.  Under the current marketing affiliate rules,</w:t>
      </w:r>
      <w:r>
        <w:rPr>
          <w:rStyle w:val="FootnoteCharacters"/>
          <w:rStyle w:val="FootnoteReference"/>
          <w:rFonts w:cs="Times New Roman" w:ascii="Times New Roman" w:hAnsi="Times New Roman"/>
          <w:sz w:val="24"/>
        </w:rPr>
        <w:footnoteReference w:id="4"/>
      </w:r>
      <w:r>
        <w:rPr>
          <w:rFonts w:cs="Times New Roman" w:ascii="Times New Roman" w:hAnsi="Times New Roman"/>
          <w:sz w:val="24"/>
        </w:rPr>
        <w:t xml:space="preserve"> therefore, it appears that Dynegy’s ownership of preferred stock raises no marketing affiliate issues.  In the event that certain conditions are met and Dynegy becomes the owner of NNG, then Dynegy will be required to set up some type of mechanism for complying with the rules.  In the event that Dynegy elects to exchange its NNG stock for Enron stock, then, depending upon the Dynegy entity owning the stock, there could be problems with the marketing affiliate rules which we would have to address at that time.  </w:t>
      </w:r>
    </w:p>
    <w:p>
      <w:pPr>
        <w:pStyle w:val="Body"/>
        <w:ind w:start="0" w:end="0"/>
        <w:jc w:val="both"/>
        <w:rPr>
          <w:rFonts w:ascii="Times New Roman" w:hAnsi="Times New Roman" w:cs="Times New Roman"/>
          <w:sz w:val="28"/>
        </w:rPr>
      </w:pPr>
      <w:r>
        <w:rPr>
          <w:rFonts w:cs="Times New Roman" w:ascii="Times New Roman" w:hAnsi="Times New Roman"/>
          <w:sz w:val="28"/>
        </w:rPr>
      </w:r>
    </w:p>
    <w:p>
      <w:pPr>
        <w:pStyle w:val="Body"/>
        <w:ind w:start="0" w:end="0"/>
        <w:rPr>
          <w:rFonts w:ascii="Times New Roman" w:hAnsi="Times New Roman" w:cs="Times New Roman"/>
          <w:b/>
          <w:bCs/>
          <w:sz w:val="24"/>
        </w:rPr>
      </w:pPr>
      <w:r>
        <w:rPr>
          <w:rFonts w:cs="Times New Roman" w:ascii="Times New Roman" w:hAnsi="Times New Roman"/>
          <w:b/>
          <w:bCs/>
          <w:sz w:val="24"/>
        </w:rPr>
        <w:t>Distribution</w:t>
      </w:r>
    </w:p>
    <w:p>
      <w:pPr>
        <w:pStyle w:val="Body"/>
        <w:ind w:start="0" w:end="0"/>
        <w:rPr>
          <w:rFonts w:ascii="Times New Roman" w:hAnsi="Times New Roman" w:cs="Times New Roman"/>
          <w:b/>
          <w:bCs/>
          <w:sz w:val="24"/>
        </w:rPr>
      </w:pPr>
      <w:r>
        <w:rPr>
          <w:rFonts w:cs="Times New Roman" w:ascii="Times New Roman" w:hAnsi="Times New Roman"/>
          <w:b/>
          <w:bCs/>
          <w:sz w:val="24"/>
        </w:rPr>
      </w:r>
    </w:p>
    <w:p>
      <w:pPr>
        <w:pStyle w:val="Body"/>
        <w:ind w:start="0" w:end="0"/>
        <w:rPr>
          <w:rFonts w:ascii="Times New Roman" w:hAnsi="Times New Roman" w:cs="Times New Roman"/>
          <w:sz w:val="24"/>
        </w:rPr>
      </w:pPr>
      <w:r>
        <w:rPr>
          <w:rFonts w:cs="Times New Roman" w:ascii="Times New Roman" w:hAnsi="Times New Roman"/>
          <w:sz w:val="24"/>
        </w:rPr>
        <w:t>Please feel free to share this memo with, or distribute it to, anyone in your department.</w:t>
      </w:r>
    </w:p>
    <w:p>
      <w:pPr>
        <w:pStyle w:val="Body"/>
        <w:ind w:start="0" w:end="0"/>
        <w:rPr>
          <w:rFonts w:ascii="Times New Roman" w:hAnsi="Times New Roman" w:cs="Times New Roman"/>
          <w:sz w:val="24"/>
        </w:rPr>
      </w:pPr>
      <w:r>
        <w:rPr>
          <w:rFonts w:cs="Times New Roman" w:ascii="Times New Roman" w:hAnsi="Times New Roman"/>
          <w:sz w:val="24"/>
        </w:rPr>
      </w:r>
    </w:p>
    <w:p>
      <w:pPr>
        <w:pStyle w:val="Body"/>
        <w:ind w:start="0" w:end="0"/>
        <w:rPr>
          <w:rFonts w:ascii="Times New Roman" w:hAnsi="Times New Roman" w:cs="Times New Roman"/>
          <w:sz w:val="24"/>
        </w:rPr>
      </w:pPr>
      <w:r>
        <w:rPr>
          <w:rFonts w:cs="Times New Roman" w:ascii="Times New Roman" w:hAnsi="Times New Roman"/>
          <w:sz w:val="24"/>
        </w:rPr>
      </w:r>
    </w:p>
    <w:p>
      <w:pPr>
        <w:pStyle w:val="CopyList"/>
        <w:spacing w:before="0" w:after="0"/>
        <w:ind w:hanging="0" w:start="0" w:end="0"/>
        <w:rPr>
          <w:rFonts w:ascii="Times New Roman" w:hAnsi="Times New Roman" w:cs="Times New Roman"/>
          <w:color w:val="000080"/>
          <w:sz w:val="24"/>
        </w:rPr>
      </w:pPr>
      <w:r>
        <w:rPr>
          <w:rFonts w:cs="Times New Roman" w:ascii="Times New Roman" w:hAnsi="Times New Roman"/>
          <w:color w:val="000080"/>
          <w:sz w:val="24"/>
        </w:rPr>
        <w:t>cc:</w:t>
        <w:tab/>
        <w:t>Attorneys</w:t>
      </w:r>
    </w:p>
    <w:sectPr>
      <w:headerReference w:type="default" r:id="rId3"/>
      <w:headerReference w:type="first" r:id="rId4"/>
      <w:footerReference w:type="default" r:id="rId5"/>
      <w:footerReference w:type="first" r:id="rId6"/>
      <w:footnotePr>
        <w:numFmt w:val="decimal"/>
      </w:footnotePr>
      <w:type w:val="nextPage"/>
      <w:pgSz w:w="12240" w:h="15840"/>
      <w:pgMar w:left="1440" w:right="1152"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2880" w:leader="none"/>
        <w:tab w:val="left" w:pos="3600" w:leader="none"/>
        <w:tab w:val="left" w:pos="5490" w:leader="none"/>
        <w:tab w:val="left" w:pos="8460" w:leader="none"/>
        <w:tab w:val="right" w:pos="10800" w:leader="none"/>
      </w:tabs>
      <w:rPr>
        <w:bCs/>
        <w:sz w:val="20"/>
      </w:rPr>
    </w:pPr>
    <w:r>
      <w:rPr>
        <w:bCs/>
        <w:sz w:val="20"/>
      </w:rPr>
    </w:r>
  </w:p>
  <w:p>
    <w:pPr>
      <w:pStyle w:val="Footer"/>
      <w:tabs>
        <w:tab w:val="clear" w:pos="4320"/>
        <w:tab w:val="clear" w:pos="8640"/>
        <w:tab w:val="left" w:pos="2880" w:leader="none"/>
        <w:tab w:val="left" w:pos="3600" w:leader="none"/>
        <w:tab w:val="left" w:pos="5490" w:leader="none"/>
        <w:tab w:val="left" w:pos="8460" w:leader="none"/>
        <w:tab w:val="right" w:pos="10800" w:leader="none"/>
      </w:tabs>
      <w:rPr>
        <w:bCs/>
        <w:sz w:val="20"/>
      </w:rPr>
    </w:pPr>
    <w:r>
      <w:rPr>
        <w:bCs/>
        <w:sz w:val="20"/>
      </w:rPr>
      <w:t>DLMc/enron/en-tw-nng-finance/bus-activ-limit-mem</w:t>
    </w:r>
  </w:p>
  <w:p>
    <w:pPr>
      <w:pStyle w:val="Footer"/>
      <w:tabs>
        <w:tab w:val="clear" w:pos="4320"/>
        <w:tab w:val="left" w:pos="3780" w:leader="none"/>
        <w:tab w:val="center" w:pos="7560" w:leader="none"/>
        <w:tab w:val="right" w:pos="8640" w:leader="none"/>
      </w:tabs>
      <w:rPr>
        <w:b/>
        <w:bCs/>
        <w:sz w:val="16"/>
      </w:rPr>
    </w:pPr>
    <w:r>
      <w:rPr>
        <w:b/>
        <w:bCs/>
        <w:sz w:val="16"/>
      </w:rPr>
    </w:r>
  </w:p>
  <w:p>
    <w:pPr>
      <w:pStyle w:val="Footer"/>
      <w:tabs>
        <w:tab w:val="clear" w:pos="4320"/>
        <w:tab w:val="clear" w:pos="8640"/>
        <w:tab w:val="left" w:pos="2880" w:leader="none"/>
        <w:tab w:val="left" w:pos="3600" w:leader="none"/>
        <w:tab w:val="left" w:pos="5490" w:leader="none"/>
        <w:tab w:val="left" w:pos="846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s>
      <w:rPr>
        <w:sz w:val="12"/>
      </w:rPr>
    </w:pPr>
    <w:r>
      <w:rPr>
        <w:sz w:val="12"/>
      </w:rPr>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2880" w:leader="none"/>
        <w:tab w:val="left" w:pos="3600" w:leader="none"/>
        <w:tab w:val="left" w:pos="5490" w:leader="none"/>
        <w:tab w:val="left" w:pos="8460" w:leader="none"/>
        <w:tab w:val="right" w:pos="10800" w:leader="none"/>
      </w:tabs>
      <w:rPr>
        <w:bCs/>
        <w:sz w:val="20"/>
      </w:rPr>
    </w:pPr>
    <w:r>
      <w:rPr>
        <w:bCs/>
        <w:sz w:val="20"/>
      </w:rPr>
    </w:r>
  </w:p>
  <w:p>
    <w:pPr>
      <w:pStyle w:val="Footer"/>
      <w:tabs>
        <w:tab w:val="clear" w:pos="4320"/>
        <w:tab w:val="clear" w:pos="8640"/>
        <w:tab w:val="left" w:pos="2880" w:leader="none"/>
        <w:tab w:val="left" w:pos="3600" w:leader="none"/>
        <w:tab w:val="left" w:pos="5490" w:leader="none"/>
        <w:tab w:val="left" w:pos="8460" w:leader="none"/>
        <w:tab w:val="right" w:pos="10800" w:leader="none"/>
      </w:tabs>
      <w:rPr>
        <w:bCs/>
        <w:sz w:val="20"/>
      </w:rPr>
    </w:pPr>
    <w:r>
      <w:rPr>
        <w:bCs/>
        <w:sz w:val="20"/>
      </w:rPr>
      <w:t>DLMc/enron/en-tw-nng-finance/bus-activ-limit-mem</w:t>
    </w:r>
  </w:p>
  <w:p>
    <w:pPr>
      <w:pStyle w:val="Footer"/>
      <w:tabs>
        <w:tab w:val="clear" w:pos="4320"/>
        <w:tab w:val="clear" w:pos="8640"/>
        <w:tab w:val="left" w:pos="1774" w:leader="none"/>
      </w:tabs>
      <w:rPr>
        <w:b/>
        <w:sz w:val="16"/>
      </w:rPr>
    </w:pPr>
    <w:r>
      <w:rPr>
        <w:b/>
        <w:sz w:val="16"/>
      </w:rPr>
      <w:tab/>
    </w:r>
  </w:p>
  <w:p>
    <w:pPr>
      <w:pStyle w:val="Footer"/>
      <w:tabs>
        <w:tab w:val="clear" w:pos="4320"/>
        <w:tab w:val="clear" w:pos="8640"/>
        <w:tab w:val="left" w:pos="2880" w:leader="none"/>
        <w:tab w:val="left" w:pos="3600" w:leader="none"/>
        <w:tab w:val="left" w:pos="5490" w:leader="none"/>
        <w:tab w:val="left" w:pos="846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rFonts w:cs="Times New Roman" w:ascii="Times New Roman" w:hAnsi="Times New Roman"/>
          <w:sz w:val="22"/>
        </w:rPr>
        <w:tab/>
        <w:t>Scheduled property, which may be sold, includes five properties: MOPS; Beaver-Hugoton; East Leg; Kermit to Eunice line; and Skellytown line.</w:t>
      </w:r>
    </w:p>
    <w:p>
      <w:pPr>
        <w:pStyle w:val="FootnoteText"/>
        <w:jc w:val="both"/>
        <w:rPr>
          <w:rFonts w:ascii="Courier New" w:hAnsi="Courier New" w:cs="Courier New"/>
          <w:sz w:val="22"/>
        </w:rPr>
      </w:pPr>
      <w:r>
        <w:rPr>
          <w:rFonts w:cs="Courier New" w:ascii="Courier New" w:hAnsi="Courier New"/>
          <w:sz w:val="22"/>
        </w:rPr>
      </w:r>
    </w:p>
  </w:footnote>
  <w:footnote w:id="3">
    <w:p>
      <w:pPr>
        <w:pStyle w:val="FootnoteText"/>
        <w:jc w:val="both"/>
        <w:rPr/>
      </w:pPr>
      <w:r>
        <w:rPr>
          <w:rStyle w:val="FootnoteCharacters"/>
        </w:rPr>
        <w:footnoteRef/>
      </w:r>
      <w:r>
        <w:rPr>
          <w:rFonts w:cs="Times New Roman" w:ascii="Times New Roman" w:hAnsi="Times New Roman"/>
          <w:sz w:val="22"/>
        </w:rPr>
        <w:tab/>
        <w:t>Excluded asset sales (allowed to be made) are: (i) sales of inventory in the ordinary course of business, (ii) when aggregated with all other property sold, do not exceed $25 million.  In addition, for NNG, certain properties are excluded from being collateral under the loan, and, if sold within a certain time frame, will not require the permission of the banks: MOPS; East Leg; Kermit to Eunice line; Skellytown line; and two other proposed, small diameter pipeline sales, to Northern States Power and to Reliant Minnegasco.  (The Beaver-Hugoton assets are not on this excluded list, however.)</w:t>
      </w:r>
    </w:p>
    <w:p>
      <w:pPr>
        <w:pStyle w:val="FootnoteText"/>
        <w:jc w:val="both"/>
        <w:rPr>
          <w:rFonts w:ascii="Times New Roman" w:hAnsi="Times New Roman" w:cs="Times New Roman"/>
          <w:sz w:val="22"/>
        </w:rPr>
      </w:pPr>
      <w:r>
        <w:rPr>
          <w:rFonts w:cs="Times New Roman" w:ascii="Times New Roman" w:hAnsi="Times New Roman"/>
          <w:sz w:val="22"/>
        </w:rPr>
      </w:r>
    </w:p>
  </w:footnote>
  <w:footnote w:id="4">
    <w:p>
      <w:pPr>
        <w:pStyle w:val="FootnoteText"/>
        <w:rPr/>
      </w:pPr>
      <w:r>
        <w:rPr>
          <w:rStyle w:val="FootnoteCharacters"/>
        </w:rPr>
        <w:footnoteRef/>
      </w:r>
      <w:r>
        <w:rPr>
          <w:rFonts w:cs="Times New Roman" w:ascii="Times New Roman" w:hAnsi="Times New Roman"/>
          <w:sz w:val="22"/>
        </w:rPr>
        <w:tab/>
        <w:t>18 CFR § 161.2 (a) and (b).</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0"/>
      </w:rPr>
    </w:pPr>
    <w:r>
      <w:rPr>
        <w:rFonts w:cs="Times New Roman" w:ascii="Times New Roman" w:hAnsi="Times New Roman"/>
        <w:sz w:val="20"/>
      </w:rPr>
      <w:t>Memo to ETS Directors, Officers</w:t>
    </w:r>
  </w:p>
  <w:p>
    <w:pPr>
      <w:pStyle w:val="Header"/>
      <w:tabs>
        <w:tab w:val="clear" w:pos="8640"/>
        <w:tab w:val="center" w:pos="4320" w:leader="none"/>
        <w:tab w:val="right" w:pos="9360" w:leader="none"/>
      </w:tabs>
      <w:rPr>
        <w:rFonts w:ascii="Times New Roman" w:hAnsi="Times New Roman" w:cs="Times New Roman"/>
        <w:sz w:val="20"/>
      </w:rPr>
    </w:pPr>
    <w:r>
      <w:rPr>
        <w:rFonts w:cs="Times New Roman" w:ascii="Times New Roman" w:hAnsi="Times New Roman"/>
        <w:sz w:val="20"/>
      </w:rPr>
      <w:t>November 20, 2001</w:t>
      <w:tab/>
      <w:tab/>
      <w:t xml:space="preserve">Page </w:t>
    </w:r>
    <w:r>
      <w:rPr>
        <w:rFonts w:cs="Times New Roman" w:ascii="Times New Roman" w:hAnsi="Times New Roman"/>
        <w:sz w:val="20"/>
      </w:rPr>
      <w:fldChar w:fldCharType="begin"/>
    </w:r>
    <w:r>
      <w:rPr>
        <w:sz w:val="20"/>
        <w:rFonts w:cs="Times New Roman" w:ascii="Times New Roman" w:hAnsi="Times New Roman"/>
      </w:rPr>
      <w:instrText xml:space="preserve"> PAGE </w:instrText>
    </w:r>
    <w:r>
      <w:rPr>
        <w:sz w:val="20"/>
        <w:rFonts w:cs="Times New Roman" w:ascii="Times New Roman" w:hAnsi="Times New Roman"/>
      </w:rPr>
      <w:fldChar w:fldCharType="separate"/>
    </w:r>
    <w:r>
      <w:rPr>
        <w:sz w:val="20"/>
        <w:rFonts w:cs="Times New Roman" w:ascii="Times New Roman" w:hAnsi="Times New Roman"/>
      </w:rPr>
      <w:t>7</w:t>
    </w:r>
    <w:r>
      <w:rPr>
        <w:sz w:val="20"/>
        <w:rFonts w:cs="Times New Roman" w:ascii="Times New Roman" w:hAnsi="Times New Roman"/>
      </w:rPr>
      <w:fldChar w:fldCharType="end"/>
    </w:r>
  </w:p>
  <w:p>
    <w:pPr>
      <w:pStyle w:val="Header"/>
      <w:tabs>
        <w:tab w:val="clear" w:pos="8640"/>
        <w:tab w:val="center" w:pos="4320" w:leader="none"/>
        <w:tab w:val="right" w:pos="9360" w:leader="none"/>
      </w:tabs>
      <w:rPr>
        <w:rFonts w:ascii="Times New Roman" w:hAnsi="Times New Roman" w:cs="Times New Roman"/>
        <w:sz w:val="20"/>
      </w:rPr>
    </w:pPr>
    <w:r>
      <w:rPr>
        <w:rFonts w:cs="Times New Roman" w:ascii="Times New Roman" w:hAnsi="Times New Roman"/>
        <w:sz w:val="20"/>
      </w:rPr>
    </w:r>
  </w:p>
  <w:p>
    <w:pPr>
      <w:pStyle w:val="Header"/>
      <w:tabs>
        <w:tab w:val="clear" w:pos="8640"/>
        <w:tab w:val="center" w:pos="4320" w:leader="none"/>
        <w:tab w:val="right" w:pos="9360" w:leader="none"/>
      </w:tabs>
      <w:rPr>
        <w:rFonts w:ascii="Times New Roman" w:hAnsi="Times New Roman" w:cs="Times New Roman"/>
        <w:sz w:val="20"/>
      </w:rPr>
    </w:pPr>
    <w:r>
      <w:rPr>
        <w:rFonts w:cs="Times New Roman" w:ascii="Times New Roman" w:hAnsi="Times New Roman"/>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92" w:hanging="360"/>
      </w:pPr>
    </w:lvl>
  </w:abstractNum>
  <w:abstractNum w:abstractNumId="3">
    <w:lvl w:ilvl="0">
      <w:start w:val="1"/>
      <w:numFmt w:val="decimal"/>
      <w:lvlText w:val="%1."/>
      <w:lvlJc w:val="start"/>
      <w:pPr>
        <w:tabs>
          <w:tab w:val="num" w:pos="720"/>
        </w:tabs>
        <w:ind w:start="792" w:hanging="360"/>
      </w:pPr>
    </w:lvl>
  </w:abstractNum>
  <w:abstractNum w:abstractNumId="4">
    <w:lvl w:ilvl="0">
      <w:start w:val="1"/>
      <w:numFmt w:val="decimal"/>
      <w:lvlText w:val="%1."/>
      <w:lvlJc w:val="start"/>
      <w:pPr>
        <w:tabs>
          <w:tab w:val="num" w:pos="720"/>
        </w:tabs>
        <w:ind w:start="792" w:hanging="360"/>
      </w:pPr>
    </w:lvl>
  </w:abstractNum>
  <w:abstractNum w:abstractNumId="5">
    <w:lvl w:ilvl="0">
      <w:start w:val="1"/>
      <w:numFmt w:val="decimal"/>
      <w:lvlText w:val="%1."/>
      <w:lvlJc w:val="start"/>
      <w:pPr>
        <w:tabs>
          <w:tab w:val="num" w:pos="720"/>
        </w:tabs>
        <w:ind w:start="792" w:hanging="360"/>
      </w:pPr>
    </w:lvl>
  </w:abstractNum>
  <w:abstractNum w:abstractNumId="6">
    <w:lvl w:ilvl="0">
      <w:start w:val="1"/>
      <w:numFmt w:val="decimal"/>
      <w:lvlText w:val="%1."/>
      <w:lvlJc w:val="start"/>
      <w:pPr>
        <w:tabs>
          <w:tab w:val="num" w:pos="720"/>
        </w:tabs>
        <w:ind w:start="81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85"/>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character" w:styleId="DefaultParagraphFont">
    <w:name w:val="Default Paragraph Font"/>
    <w:qFormat/>
    <w:rPr/>
  </w:style>
  <w:style w:type="character" w:styleId="VEItalic">
    <w:name w:val="VE Italic"/>
    <w:basedOn w:val="DefaultParagraphFont"/>
    <w:qFormat/>
    <w:rPr>
      <w:i/>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FootnoteText">
    <w:name w:val="footnote text"/>
    <w:basedOn w:val="Normal"/>
    <w:pPr>
      <w:ind w:hanging="547" w:start="547" w:end="0"/>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EnronMemo.dot</Template>
  <TotalTime>509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2001-11-20T13:11:00Z</dcterms:created>
  <dc:creator>Dorothy Lancaster McCoppin</dc:creator>
  <dc:description/>
  <dc:language>en-CA</dc:language>
  <cp:lastModifiedBy>Dorothy Lancaster McCoppin</cp:lastModifiedBy>
  <cp:lastPrinted>2001-11-19T18:02:00Z</cp:lastPrinted>
  <dcterms:modified xsi:type="dcterms:W3CDTF">2001-11-20T23:27:00Z</dcterms:modified>
  <cp:revision>61</cp:revision>
  <dc:subject/>
  <dc:title>Better, Faster, Simpler Memo </dc:title>
</cp:coreProperties>
</file>