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 w:end="-360"/>
        <w:rPr>
          <w:sz w:val="32"/>
        </w:rPr>
      </w:pPr>
      <w:r>
        <w:rPr>
          <w:sz w:val="32"/>
        </w:rPr>
        <w:t>Business Review Meeting Preparation Template</w:t>
      </w:r>
    </w:p>
    <w:p>
      <w:pPr>
        <w:pStyle w:val="Heading2"/>
        <w:ind w:hanging="0" w:start="0"/>
        <w:rPr/>
      </w:pPr>
      <w:r>
        <w:rPr/>
        <w:t>Mid Year 2000</w:t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tbl>
      <w:tblPr>
        <w:tblW w:w="134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98"/>
        <w:gridCol w:w="1800"/>
        <w:gridCol w:w="10530"/>
      </w:tblGrid>
      <w:tr>
        <w:trPr/>
        <w:tc>
          <w:tcPr>
            <w:tcW w:w="1098" w:type="dxa"/>
            <w:tcBorders/>
          </w:tcPr>
          <w:p>
            <w:pPr>
              <w:pStyle w:val="Normal"/>
              <w:rPr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Name:</w:t>
            </w:r>
          </w:p>
        </w:tc>
        <w:tc>
          <w:tcPr>
            <w:tcW w:w="12330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rPr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Mary Solmonson</w:t>
            </w:r>
          </w:p>
        </w:tc>
      </w:tr>
      <w:tr>
        <w:trPr/>
        <w:tc>
          <w:tcPr>
            <w:tcW w:w="2898" w:type="dxa"/>
            <w:gridSpan w:val="2"/>
            <w:tcBorders/>
          </w:tcPr>
          <w:p>
            <w:pPr>
              <w:pStyle w:val="Normal"/>
              <w:rPr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Area of Responsibility:</w:t>
            </w:r>
          </w:p>
        </w:tc>
        <w:tc>
          <w:tcPr>
            <w:tcW w:w="10530" w:type="dxa"/>
            <w:tcBorders>
              <w:bottom w:val="single" w:sz="12" w:space="0" w:color="000000"/>
            </w:tcBorders>
          </w:tcPr>
          <w:p>
            <w:pPr>
              <w:pStyle w:val="Normal"/>
              <w:rPr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Global Data Management &amp; Strategic System Initiatives</w:t>
            </w:r>
          </w:p>
        </w:tc>
      </w:tr>
    </w:tbl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Heading1"/>
        <w:ind w:hanging="0" w:start="0"/>
        <w:rPr/>
      </w:pPr>
      <w:r>
        <w:rPr/>
        <w:t>I. Business Goals</w:t>
      </w:r>
    </w:p>
    <w:tbl>
      <w:tblPr>
        <w:tblW w:w="1332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0"/>
        <w:gridCol w:w="3240"/>
      </w:tblGrid>
      <w:tr>
        <w:trPr/>
        <w:tc>
          <w:tcPr>
            <w:tcW w:w="1008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Normal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Business Goals During Next 6-18 Months &amp; Future Requirements</w:t>
            </w:r>
          </w:p>
        </w:tc>
        <w:tc>
          <w:tcPr>
            <w:tcW w:w="324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Normal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Target Dates</w:t>
            </w:r>
          </w:p>
        </w:tc>
      </w:tr>
      <w:tr>
        <w:trPr>
          <w:trHeight w:val="360" w:hRule="exact"/>
        </w:trPr>
        <w:tc>
          <w:tcPr>
            <w:tcW w:w="1008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1. Develop Rate Services into a reliable function and propagate to other Enron business units</w:t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324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>
                <w:i/>
                <w:sz w:val="24"/>
              </w:rPr>
              <w:t>3</w:t>
            </w:r>
            <w:r>
              <w:rPr>
                <w:i/>
                <w:sz w:val="24"/>
                <w:vertAlign w:val="superscript"/>
              </w:rPr>
              <w:t>rd</w:t>
            </w:r>
            <w:r>
              <w:rPr>
                <w:i/>
                <w:sz w:val="24"/>
              </w:rPr>
              <w:t xml:space="preserve"> Quarter 2000</w:t>
            </w:r>
          </w:p>
        </w:tc>
      </w:tr>
      <w:tr>
        <w:trPr>
          <w:trHeight w:val="360" w:hRule="exact"/>
        </w:trPr>
        <w:tc>
          <w:tcPr>
            <w:tcW w:w="10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2. Build infrastructure for worldwide coordination of Records Management and Livelink</w:t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32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>
                <w:i/>
                <w:sz w:val="24"/>
              </w:rPr>
              <w:t>3</w:t>
            </w:r>
            <w:r>
              <w:rPr>
                <w:i/>
                <w:sz w:val="24"/>
                <w:vertAlign w:val="superscript"/>
              </w:rPr>
              <w:t>rd</w:t>
            </w:r>
            <w:r>
              <w:rPr>
                <w:i/>
                <w:sz w:val="24"/>
              </w:rPr>
              <w:t xml:space="preserve"> Quarter 2000</w:t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600" w:hRule="exact"/>
        </w:trPr>
        <w:tc>
          <w:tcPr>
            <w:tcW w:w="10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3.Begin development of new generation global systems</w:t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32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>
                <w:i/>
                <w:sz w:val="24"/>
              </w:rPr>
              <w:t>3</w:t>
            </w:r>
            <w:r>
              <w:rPr>
                <w:i/>
                <w:sz w:val="24"/>
                <w:vertAlign w:val="superscript"/>
              </w:rPr>
              <w:t>rd</w:t>
            </w:r>
            <w:r>
              <w:rPr>
                <w:i/>
                <w:sz w:val="24"/>
              </w:rPr>
              <w:t xml:space="preserve"> Quarter 2000</w:t>
              <w:br/>
              <w:t>Delivery – 2Q 2001</w:t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600" w:hRule="exact"/>
        </w:trPr>
        <w:tc>
          <w:tcPr>
            <w:tcW w:w="10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4.Develop concept and business plan for multi-dimensional location repository that encompasses and highlights all of Enron’s capabilities in a location</w:t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32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>
                <w:i/>
                <w:sz w:val="24"/>
              </w:rPr>
              <w:t>4</w:t>
            </w:r>
            <w:r>
              <w:rPr>
                <w:i/>
                <w:sz w:val="24"/>
                <w:vertAlign w:val="superscript"/>
              </w:rPr>
              <w:t>th</w:t>
            </w:r>
            <w:r>
              <w:rPr>
                <w:i/>
                <w:sz w:val="24"/>
              </w:rPr>
              <w:t xml:space="preserve"> Quarter 2000</w:t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/>
        <w:tc>
          <w:tcPr>
            <w:tcW w:w="10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5.  Execute business plan for implementation of a Strategic Systems coordinator for Energy Operations</w:t>
            </w:r>
          </w:p>
        </w:tc>
        <w:tc>
          <w:tcPr>
            <w:tcW w:w="32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>
                <w:i/>
                <w:sz w:val="24"/>
              </w:rPr>
              <w:t>3</w:t>
            </w:r>
            <w:r>
              <w:rPr>
                <w:i/>
                <w:sz w:val="24"/>
                <w:vertAlign w:val="superscript"/>
              </w:rPr>
              <w:t>rd</w:t>
            </w:r>
            <w:r>
              <w:rPr>
                <w:i/>
                <w:sz w:val="24"/>
              </w:rPr>
              <w:t xml:space="preserve"> Quarter 2000</w:t>
            </w:r>
          </w:p>
        </w:tc>
      </w:tr>
      <w:tr>
        <w:trPr>
          <w:trHeight w:val="360" w:hRule="exact"/>
        </w:trPr>
        <w:tc>
          <w:tcPr>
            <w:tcW w:w="10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6.  Implement an Energy Operations Intranet Site</w:t>
            </w:r>
          </w:p>
        </w:tc>
        <w:tc>
          <w:tcPr>
            <w:tcW w:w="32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>
                <w:i/>
                <w:sz w:val="24"/>
              </w:rPr>
              <w:t>3</w:t>
            </w:r>
            <w:r>
              <w:rPr>
                <w:i/>
                <w:sz w:val="24"/>
                <w:vertAlign w:val="superscript"/>
              </w:rPr>
              <w:t>rd</w:t>
            </w:r>
            <w:r>
              <w:rPr>
                <w:i/>
                <w:sz w:val="24"/>
              </w:rPr>
              <w:t xml:space="preserve"> Quarter 2000</w:t>
            </w:r>
          </w:p>
        </w:tc>
      </w:tr>
      <w:tr>
        <w:trPr>
          <w:trHeight w:val="360" w:hRule="exact"/>
        </w:trPr>
        <w:tc>
          <w:tcPr>
            <w:tcW w:w="10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7.  Identify and resolve barriers to straight-through processing</w:t>
            </w:r>
          </w:p>
        </w:tc>
        <w:tc>
          <w:tcPr>
            <w:tcW w:w="32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>
                <w:i/>
                <w:sz w:val="24"/>
              </w:rPr>
              <w:t>3-4</w:t>
            </w:r>
            <w:r>
              <w:rPr>
                <w:i/>
                <w:sz w:val="24"/>
                <w:vertAlign w:val="superscript"/>
              </w:rPr>
              <w:t>th</w:t>
            </w:r>
            <w:r>
              <w:rPr>
                <w:i/>
                <w:sz w:val="24"/>
              </w:rPr>
              <w:t xml:space="preserve"> Quarter 2000</w:t>
            </w:r>
          </w:p>
        </w:tc>
      </w:tr>
      <w:tr>
        <w:trPr>
          <w:trHeight w:val="360" w:hRule="exact"/>
        </w:trPr>
        <w:tc>
          <w:tcPr>
            <w:tcW w:w="10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8. Identify and resolve barriers to outsourcing – establish bid and estimation process</w:t>
            </w:r>
          </w:p>
        </w:tc>
        <w:tc>
          <w:tcPr>
            <w:tcW w:w="32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>
                <w:i/>
                <w:sz w:val="24"/>
              </w:rPr>
              <w:t>3</w:t>
            </w:r>
            <w:r>
              <w:rPr>
                <w:i/>
                <w:sz w:val="24"/>
                <w:vertAlign w:val="superscript"/>
              </w:rPr>
              <w:t>rd</w:t>
            </w:r>
            <w:r>
              <w:rPr>
                <w:i/>
                <w:sz w:val="24"/>
              </w:rPr>
              <w:t xml:space="preserve"> Quarter 2000</w:t>
            </w:r>
          </w:p>
        </w:tc>
      </w:tr>
      <w:tr>
        <w:trPr>
          <w:trHeight w:val="600" w:hRule="exact"/>
        </w:trPr>
        <w:tc>
          <w:tcPr>
            <w:tcW w:w="10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9.  Identify opportunities for revenue generation within the Global Data arena-preferably in an e-commerce vein</w:t>
            </w:r>
          </w:p>
        </w:tc>
        <w:tc>
          <w:tcPr>
            <w:tcW w:w="32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>
                <w:i/>
                <w:sz w:val="24"/>
              </w:rPr>
              <w:t>4</w:t>
            </w:r>
            <w:r>
              <w:rPr>
                <w:i/>
                <w:sz w:val="24"/>
                <w:vertAlign w:val="superscript"/>
              </w:rPr>
              <w:t>th</w:t>
            </w:r>
            <w:r>
              <w:rPr>
                <w:i/>
                <w:sz w:val="24"/>
              </w:rPr>
              <w:t xml:space="preserve"> Quarter</w:t>
            </w:r>
          </w:p>
        </w:tc>
      </w:tr>
      <w:tr>
        <w:trPr>
          <w:trHeight w:val="600" w:hRule="exact"/>
        </w:trPr>
        <w:tc>
          <w:tcPr>
            <w:tcW w:w="10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10.  Develop business plan for offering a commercial repository of customer and credit information real-time to support B2B and e-commerce activity</w:t>
            </w:r>
          </w:p>
        </w:tc>
        <w:tc>
          <w:tcPr>
            <w:tcW w:w="32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>
                <w:i/>
                <w:sz w:val="24"/>
              </w:rPr>
              <w:t>3</w:t>
            </w:r>
            <w:r>
              <w:rPr>
                <w:i/>
                <w:sz w:val="24"/>
                <w:vertAlign w:val="superscript"/>
              </w:rPr>
              <w:t>rd</w:t>
            </w:r>
            <w:r>
              <w:rPr>
                <w:i/>
                <w:sz w:val="24"/>
              </w:rPr>
              <w:t xml:space="preserve"> Quarter 2000</w:t>
            </w:r>
          </w:p>
        </w:tc>
      </w:tr>
      <w:tr>
        <w:trPr>
          <w:trHeight w:val="360" w:hRule="exact"/>
        </w:trPr>
        <w:tc>
          <w:tcPr>
            <w:tcW w:w="10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11.  Implement an Energy Operations Internet Site</w:t>
            </w:r>
          </w:p>
        </w:tc>
        <w:tc>
          <w:tcPr>
            <w:tcW w:w="32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>
                <w:i/>
                <w:sz w:val="24"/>
              </w:rPr>
              <w:t>4</w:t>
            </w:r>
            <w:r>
              <w:rPr>
                <w:i/>
                <w:sz w:val="24"/>
                <w:vertAlign w:val="superscript"/>
              </w:rPr>
              <w:t>th</w:t>
            </w:r>
            <w:r>
              <w:rPr>
                <w:i/>
                <w:sz w:val="24"/>
              </w:rPr>
              <w:t xml:space="preserve"> Quarter 2000</w:t>
            </w:r>
          </w:p>
        </w:tc>
      </w:tr>
      <w:tr>
        <w:trPr>
          <w:trHeight w:val="960" w:hRule="exact"/>
        </w:trPr>
        <w:tc>
          <w:tcPr>
            <w:tcW w:w="10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12. Continue Global Outsourcing development and expansion – EES, EBS, P&amp;P, Metals</w:t>
            </w:r>
          </w:p>
        </w:tc>
        <w:tc>
          <w:tcPr>
            <w:tcW w:w="32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>
                <w:i/>
                <w:sz w:val="24"/>
              </w:rPr>
              <w:t>3</w:t>
            </w:r>
            <w:r>
              <w:rPr>
                <w:i/>
                <w:sz w:val="24"/>
                <w:vertAlign w:val="superscript"/>
              </w:rPr>
              <w:t>rd</w:t>
            </w:r>
            <w:r>
              <w:rPr>
                <w:i/>
                <w:sz w:val="24"/>
              </w:rPr>
              <w:t xml:space="preserve"> Quarter 2000</w:t>
            </w:r>
          </w:p>
        </w:tc>
      </w:tr>
      <w:tr>
        <w:trPr>
          <w:trHeight w:val="960" w:hRule="exact"/>
        </w:trPr>
        <w:tc>
          <w:tcPr>
            <w:tcW w:w="10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13.  Develop effective reporting infrastructure to measure and report growth, etc.</w:t>
            </w:r>
          </w:p>
        </w:tc>
        <w:tc>
          <w:tcPr>
            <w:tcW w:w="32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>
                <w:i/>
                <w:sz w:val="24"/>
              </w:rPr>
              <w:t>4</w:t>
            </w:r>
            <w:r>
              <w:rPr>
                <w:i/>
                <w:sz w:val="24"/>
                <w:vertAlign w:val="superscript"/>
              </w:rPr>
              <w:t>th</w:t>
            </w:r>
            <w:r>
              <w:rPr>
                <w:i/>
                <w:sz w:val="24"/>
              </w:rPr>
              <w:t xml:space="preserve"> Quarter 2000</w:t>
            </w:r>
          </w:p>
        </w:tc>
      </w:tr>
      <w:tr>
        <w:trPr>
          <w:trHeight w:val="960" w:hRule="exact"/>
        </w:trPr>
        <w:tc>
          <w:tcPr>
            <w:tcW w:w="10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14. EnTelligence Development and Rollout</w:t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32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>
                <w:i/>
                <w:sz w:val="24"/>
              </w:rPr>
              <w:t>3</w:t>
            </w:r>
            <w:r>
              <w:rPr>
                <w:i/>
                <w:sz w:val="24"/>
                <w:vertAlign w:val="superscript"/>
              </w:rPr>
              <w:t>rd</w:t>
            </w:r>
            <w:r>
              <w:rPr>
                <w:i/>
                <w:sz w:val="24"/>
              </w:rPr>
              <w:t xml:space="preserve"> Quarter2000 – Phase I</w:t>
              <w:br/>
              <w:t>Additional phases every 2-3 months</w:t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960" w:hRule="exact"/>
        </w:trPr>
        <w:tc>
          <w:tcPr>
            <w:tcW w:w="10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15.  Investigate feasibility of establishing an exchange program for rotation of global resources throughout all Global teams – including international teams.</w:t>
            </w:r>
          </w:p>
        </w:tc>
        <w:tc>
          <w:tcPr>
            <w:tcW w:w="32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>
                <w:i/>
                <w:sz w:val="24"/>
              </w:rPr>
              <w:t>4</w:t>
            </w:r>
            <w:r>
              <w:rPr>
                <w:i/>
                <w:sz w:val="24"/>
                <w:vertAlign w:val="superscript"/>
              </w:rPr>
              <w:t>th</w:t>
            </w:r>
            <w:r>
              <w:rPr>
                <w:i/>
                <w:sz w:val="24"/>
              </w:rPr>
              <w:t xml:space="preserve"> Quarter 2000</w:t>
            </w:r>
          </w:p>
        </w:tc>
      </w:tr>
    </w:tbl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Heading4"/>
        <w:ind w:hanging="0" w:start="0"/>
        <w:rPr>
          <w:i w:val="false"/>
          <w:i w:val="false"/>
          <w:sz w:val="28"/>
        </w:rPr>
      </w:pPr>
      <w:r>
        <w:rPr>
          <w:i w:val="false"/>
          <w:sz w:val="28"/>
        </w:rPr>
        <w:t>II. Gap Analysis</w:t>
      </w:r>
    </w:p>
    <w:p>
      <w:pPr>
        <w:pStyle w:val="Normal"/>
        <w:rPr/>
      </w:pPr>
      <w:r>
        <w:rPr>
          <w:sz w:val="24"/>
        </w:rPr>
        <w:t>Key Descriptors</w:t>
      </w:r>
      <w:r>
        <w:rPr/>
        <w:t>:</w:t>
      </w:r>
    </w:p>
    <w:p>
      <w:pPr>
        <w:pStyle w:val="Normal"/>
        <w:rPr>
          <w:b/>
        </w:rPr>
      </w:pPr>
      <w:r>
        <w:rPr>
          <w:b/>
        </w:rPr>
        <w:t xml:space="preserve">Experience and Knowledge Gap </w:t>
      </w:r>
    </w:p>
    <w:p>
      <w:pPr>
        <w:pStyle w:val="Normal"/>
        <w:rPr>
          <w:b/>
        </w:rPr>
      </w:pPr>
      <w:r>
        <w:rPr>
          <w:b/>
        </w:rPr>
        <w:t>Will additional skills be needed to meet the goals?</w:t>
      </w:r>
    </w:p>
    <w:p>
      <w:pPr>
        <w:pStyle w:val="Normal"/>
        <w:rPr>
          <w:b/>
        </w:rPr>
      </w:pPr>
      <w:r>
        <w:rPr>
          <w:b/>
        </w:rPr>
        <w:t>Will additional positions or specialty jobs be needed?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BodyText"/>
        <w:rPr/>
      </w:pPr>
      <w:r>
        <w:rPr/>
        <w:t>Gap Analysis During the next 6 – 18 months</w:t>
      </w:r>
    </w:p>
    <w:tbl>
      <w:tblPr>
        <w:tblW w:w="132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10"/>
        <w:gridCol w:w="3690"/>
        <w:gridCol w:w="2700"/>
        <w:gridCol w:w="3330"/>
      </w:tblGrid>
      <w:tr>
        <w:trPr/>
        <w:tc>
          <w:tcPr>
            <w:tcW w:w="351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999999" w:val="clear"/>
            <w:vAlign w:val="center"/>
          </w:tcPr>
          <w:p>
            <w:pPr>
              <w:pStyle w:val="Heading3"/>
              <w:ind w:hanging="0" w:start="0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Business Goal</w:t>
            </w:r>
          </w:p>
          <w:p>
            <w:pPr>
              <w:pStyle w:val="Normal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</w:tc>
        <w:tc>
          <w:tcPr>
            <w:tcW w:w="369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999999" w:val="clear"/>
          </w:tcPr>
          <w:p>
            <w:pPr>
              <w:pStyle w:val="BodyText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 xml:space="preserve">Specific Skills Needed </w:t>
            </w:r>
          </w:p>
        </w:tc>
        <w:tc>
          <w:tcPr>
            <w:tcW w:w="270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999999" w:val="clear"/>
          </w:tcPr>
          <w:p>
            <w:pPr>
              <w:pStyle w:val="BodyText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Title/Position</w:t>
            </w:r>
          </w:p>
        </w:tc>
        <w:tc>
          <w:tcPr>
            <w:tcW w:w="333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999999" w:val="clear"/>
          </w:tcPr>
          <w:p>
            <w:pPr>
              <w:pStyle w:val="BodyText"/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Estimated Date Needed</w:t>
            </w:r>
          </w:p>
        </w:tc>
      </w:tr>
      <w:tr>
        <w:trPr>
          <w:trHeight w:val="1080" w:hRule="exac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1. Develop Rate Services into a reliable function and propagate to other Enron business units</w:t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36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Need stronger lead/manager with good controls background and experience developing control systems</w:t>
            </w:r>
          </w:p>
        </w:tc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Manager</w:t>
            </w:r>
          </w:p>
        </w:tc>
        <w:tc>
          <w:tcPr>
            <w:tcW w:w="33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August 2000</w:t>
            </w:r>
          </w:p>
        </w:tc>
      </w:tr>
      <w:tr>
        <w:trPr>
          <w:trHeight w:val="1080" w:hRule="exac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36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Need Analyst/Specialist to suggest and implement further process improvements</w:t>
            </w:r>
          </w:p>
        </w:tc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Analyst/Specialist</w:t>
            </w:r>
          </w:p>
        </w:tc>
        <w:tc>
          <w:tcPr>
            <w:tcW w:w="33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June 2000</w:t>
            </w:r>
          </w:p>
        </w:tc>
      </w:tr>
      <w:tr>
        <w:trPr>
          <w:trHeight w:val="1080" w:hRule="exac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</w:r>
          </w:p>
        </w:tc>
        <w:tc>
          <w:tcPr>
            <w:tcW w:w="36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Need additional IT focus</w:t>
            </w:r>
          </w:p>
        </w:tc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many</w:t>
            </w:r>
          </w:p>
        </w:tc>
        <w:tc>
          <w:tcPr>
            <w:tcW w:w="33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Now</w:t>
            </w:r>
          </w:p>
        </w:tc>
      </w:tr>
      <w:tr>
        <w:trPr>
          <w:trHeight w:val="1080" w:hRule="exac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2. Build infrastructure for worldwide coordination of Records Management and Livelink</w:t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36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Need business analyst to coordinate system issues</w:t>
            </w:r>
          </w:p>
        </w:tc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Sr. Specialist</w:t>
            </w:r>
          </w:p>
        </w:tc>
        <w:tc>
          <w:tcPr>
            <w:tcW w:w="33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Now</w:t>
            </w:r>
          </w:p>
        </w:tc>
      </w:tr>
      <w:tr>
        <w:trPr>
          <w:trHeight w:val="1080" w:hRule="exac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36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Need strong successor for Carolyn and/or Analyst that can assist with presentations and marketing of function</w:t>
            </w:r>
          </w:p>
        </w:tc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Sr. Specialist/Analyst</w:t>
            </w:r>
          </w:p>
        </w:tc>
        <w:tc>
          <w:tcPr>
            <w:tcW w:w="33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July 2000</w:t>
            </w:r>
          </w:p>
        </w:tc>
      </w:tr>
      <w:tr>
        <w:trPr>
          <w:trHeight w:val="840" w:hRule="exac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</w:r>
          </w:p>
        </w:tc>
        <w:tc>
          <w:tcPr>
            <w:tcW w:w="36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Possibly need to expand file room.  </w:t>
            </w:r>
          </w:p>
        </w:tc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Wait until conversion to Livelink is complete to gauge needs</w:t>
            </w:r>
          </w:p>
        </w:tc>
      </w:tr>
      <w:tr>
        <w:trPr>
          <w:trHeight w:val="840" w:hRule="exac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3.Begin development of new generation global systems</w:t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36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IT Resources</w:t>
            </w:r>
          </w:p>
        </w:tc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many</w:t>
            </w:r>
          </w:p>
        </w:tc>
        <w:tc>
          <w:tcPr>
            <w:tcW w:w="33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July 2000</w:t>
            </w:r>
          </w:p>
        </w:tc>
      </w:tr>
      <w:tr>
        <w:trPr>
          <w:trHeight w:val="1320" w:hRule="exac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4.Develop concept and business plan for multi-dimensional location repository that encompasses and highlights all of Enron’s capabilities in a location</w:t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36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Need multi-product knowledge in the physical arena – possibly not full time, but to consult</w:t>
            </w:r>
          </w:p>
        </w:tc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November 2000</w:t>
            </w:r>
          </w:p>
        </w:tc>
      </w:tr>
      <w:tr>
        <w:trPr>
          <w:trHeight w:val="1080" w:hRule="exac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5.  Execute business plan for implementation of a Strategic Systems coordinator for Energy Operations</w:t>
            </w:r>
          </w:p>
        </w:tc>
        <w:tc>
          <w:tcPr>
            <w:tcW w:w="36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Possibly need Project managers to liase with IT and business units on strategic projects</w:t>
            </w:r>
          </w:p>
        </w:tc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Sr. Specialist/Manager</w:t>
            </w:r>
          </w:p>
        </w:tc>
        <w:tc>
          <w:tcPr>
            <w:tcW w:w="33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August 2000</w:t>
            </w:r>
          </w:p>
        </w:tc>
      </w:tr>
      <w:tr>
        <w:trPr>
          <w:trHeight w:val="840" w:hRule="exac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6.  Implement an Energy Operations Intranet Site</w:t>
            </w:r>
          </w:p>
        </w:tc>
        <w:tc>
          <w:tcPr>
            <w:tcW w:w="36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No needs at this time</w:t>
            </w:r>
          </w:p>
        </w:tc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840" w:hRule="exac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7.  Identify and resolve barriers to straight-through processing</w:t>
            </w:r>
          </w:p>
        </w:tc>
        <w:tc>
          <w:tcPr>
            <w:tcW w:w="36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No specific needs at this time</w:t>
            </w:r>
          </w:p>
        </w:tc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840" w:hRule="exac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8. Identify and resolve barriers to outsourcing – establish bid and estimation process</w:t>
            </w:r>
          </w:p>
        </w:tc>
        <w:tc>
          <w:tcPr>
            <w:tcW w:w="36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No needs at this time</w:t>
            </w:r>
          </w:p>
        </w:tc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080" w:hRule="exac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9.  Identify opportunities for revenue generation within the Global Data arena-preferably in an e-commerce vein</w:t>
            </w:r>
          </w:p>
        </w:tc>
        <w:tc>
          <w:tcPr>
            <w:tcW w:w="36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Marketing, e-commerce development and possibly more</w:t>
            </w:r>
          </w:p>
        </w:tc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Director</w:t>
            </w:r>
          </w:p>
        </w:tc>
        <w:tc>
          <w:tcPr>
            <w:tcW w:w="33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>
        <w:trPr>
          <w:trHeight w:val="1320" w:hRule="exac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10.  Develop business plan for offering a commercial repository of customer and credit information real-time to support B2B and e-commerce activity</w:t>
            </w:r>
          </w:p>
        </w:tc>
        <w:tc>
          <w:tcPr>
            <w:tcW w:w="36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A resource with experience working at Dun &amp; Bradstreet or Experian or another Credit agency – Moody’s</w:t>
            </w:r>
          </w:p>
        </w:tc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Director</w:t>
            </w:r>
          </w:p>
        </w:tc>
        <w:tc>
          <w:tcPr>
            <w:tcW w:w="33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>
        <w:trPr>
          <w:trHeight w:val="840" w:hRule="exac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11.  Implement an Energy Operations Internet Site</w:t>
            </w:r>
          </w:p>
        </w:tc>
        <w:tc>
          <w:tcPr>
            <w:tcW w:w="36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No needs at this time – possibly external consultants later</w:t>
            </w:r>
          </w:p>
        </w:tc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840" w:hRule="exac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12. Continue Global Outsourcing development and expansion – EES, EBS, P&amp;P, Metals</w:t>
            </w:r>
          </w:p>
        </w:tc>
        <w:tc>
          <w:tcPr>
            <w:tcW w:w="36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Need more Global knowledge-will pull from internal existing staff</w:t>
            </w:r>
          </w:p>
        </w:tc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July 2000</w:t>
            </w:r>
          </w:p>
        </w:tc>
      </w:tr>
      <w:tr>
        <w:trPr>
          <w:trHeight w:val="1320" w:hRule="exac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13.  Develop effective reporting infrastructure to measure and report growth, etc.</w:t>
            </w:r>
          </w:p>
        </w:tc>
        <w:tc>
          <w:tcPr>
            <w:tcW w:w="36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Need more adhoc reporting skills and someone to focus on development of a reporting infrastructure that does not require extensive skills to navigate</w:t>
            </w:r>
          </w:p>
        </w:tc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>
                <w:sz w:val="22"/>
              </w:rPr>
              <w:t>4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Quarter 2000</w:t>
            </w:r>
          </w:p>
        </w:tc>
      </w:tr>
      <w:tr>
        <w:trPr>
          <w:trHeight w:val="840" w:hRule="exac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14. EnTelligence Development and Rollout</w:t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36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More IT resources or explore outsourcing to shorten delivery schedule</w:t>
            </w:r>
          </w:p>
        </w:tc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320" w:hRule="exac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15.  Investigate feasibility of establishing an exchange program for rotation of global resources throughout all Global teams – including international teams.</w:t>
            </w:r>
          </w:p>
        </w:tc>
        <w:tc>
          <w:tcPr>
            <w:tcW w:w="36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Compensation</w:t>
              <w:br/>
              <w:t>VISA limitations</w:t>
            </w:r>
          </w:p>
        </w:tc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840" w:hRule="exac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36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More EnTelliteam resources to support cleansing activities</w:t>
            </w:r>
          </w:p>
        </w:tc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Staff/Specialist level or Analyst</w:t>
            </w:r>
          </w:p>
        </w:tc>
        <w:tc>
          <w:tcPr>
            <w:tcW w:w="33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Quarter 2000</w:t>
            </w:r>
          </w:p>
        </w:tc>
      </w:tr>
      <w:tr>
        <w:trPr>
          <w:trHeight w:val="840" w:hRule="exac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</w:r>
          </w:p>
        </w:tc>
        <w:tc>
          <w:tcPr>
            <w:tcW w:w="36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MORE DEDICATED RECRUITING EFFORTS</w:t>
            </w:r>
          </w:p>
        </w:tc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840" w:hRule="exac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</w:r>
          </w:p>
        </w:tc>
        <w:tc>
          <w:tcPr>
            <w:tcW w:w="36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COMPENSATION OF TECHNICAL RESOURCES AND MANAGEMENT LEVELS</w:t>
            </w:r>
          </w:p>
        </w:tc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840" w:hRule="exac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</w:r>
          </w:p>
        </w:tc>
        <w:tc>
          <w:tcPr>
            <w:tcW w:w="36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FLOOR SPACE</w:t>
            </w:r>
          </w:p>
        </w:tc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III. Promotions/Succession:</w:t>
      </w:r>
    </w:p>
    <w:p>
      <w:pPr>
        <w:pStyle w:val="Heading4"/>
        <w:ind w:hanging="0" w:start="0"/>
        <w:rPr/>
      </w:pPr>
      <w:r>
        <w:rPr/>
        <w:t>Hierarchical Promotions</w:t>
      </w:r>
    </w:p>
    <w:tbl>
      <w:tblPr>
        <w:tblW w:w="133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43"/>
        <w:gridCol w:w="2215"/>
        <w:gridCol w:w="2160"/>
        <w:gridCol w:w="3240"/>
        <w:gridCol w:w="3780"/>
      </w:tblGrid>
      <w:tr>
        <w:trPr/>
        <w:tc>
          <w:tcPr>
            <w:tcW w:w="1943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Heading3"/>
              <w:ind w:hanging="0" w:start="0"/>
              <w:rPr>
                <w:i/>
                <w:i/>
              </w:rPr>
            </w:pPr>
            <w:r>
              <w:rPr>
                <w:i/>
              </w:rPr>
              <w:t>Employee</w:t>
            </w:r>
          </w:p>
          <w:p>
            <w:pPr>
              <w:pStyle w:val="Heading3"/>
              <w:ind w:hanging="0" w:start="0"/>
              <w:rPr>
                <w:i/>
                <w:i/>
              </w:rPr>
            </w:pPr>
            <w:r>
              <w:rPr>
                <w:i/>
              </w:rPr>
              <w:t xml:space="preserve"> </w:t>
            </w:r>
            <w:r>
              <w:rPr>
                <w:i/>
              </w:rPr>
              <w:t>Name</w:t>
            </w:r>
          </w:p>
        </w:tc>
        <w:tc>
          <w:tcPr>
            <w:tcW w:w="2215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Heading4"/>
              <w:ind w:hanging="0" w:start="0"/>
              <w:rPr/>
            </w:pPr>
            <w:r>
              <w:rPr/>
              <w:t>Position</w:t>
            </w:r>
          </w:p>
          <w:p>
            <w:pPr>
              <w:pStyle w:val="Heading4"/>
              <w:ind w:hanging="0" w:start="0"/>
              <w:rPr/>
            </w:pPr>
            <w:r>
              <w:rPr/>
              <w:t xml:space="preserve"> </w:t>
            </w:r>
            <w:r>
              <w:rPr/>
              <w:t>Held</w:t>
            </w:r>
          </w:p>
        </w:tc>
        <w:tc>
          <w:tcPr>
            <w:tcW w:w="216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Heading4"/>
              <w:ind w:hanging="0" w:start="0"/>
              <w:rPr/>
            </w:pPr>
            <w:r>
              <w:rPr/>
              <w:t>Ready Now</w:t>
            </w:r>
          </w:p>
        </w:tc>
        <w:tc>
          <w:tcPr>
            <w:tcW w:w="324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Heading4"/>
              <w:ind w:hanging="0" w:start="0"/>
              <w:rPr/>
            </w:pPr>
            <w:r>
              <w:rPr/>
              <w:t>Ready in 6 Months</w:t>
            </w:r>
          </w:p>
        </w:tc>
        <w:tc>
          <w:tcPr>
            <w:tcW w:w="378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Heading4"/>
              <w:ind w:hanging="0" w:start="0"/>
              <w:rPr/>
            </w:pPr>
            <w:r>
              <w:rPr/>
              <w:t>New Position</w:t>
            </w:r>
          </w:p>
        </w:tc>
      </w:tr>
      <w:tr>
        <w:trPr>
          <w:trHeight w:val="117" w:hRule="atLeast"/>
        </w:trPr>
        <w:tc>
          <w:tcPr>
            <w:tcW w:w="1943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Linda Bryan</w:t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Sr. Specialist-Lead</w:t>
            </w:r>
          </w:p>
        </w:tc>
        <w:tc>
          <w:tcPr>
            <w:tcW w:w="21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32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Successor for Connie Sutton</w:t>
            </w:r>
          </w:p>
        </w:tc>
      </w:tr>
      <w:tr>
        <w:trPr/>
        <w:tc>
          <w:tcPr>
            <w:tcW w:w="194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*Joel Henenberg</w:t>
            </w:r>
          </w:p>
        </w:tc>
        <w:tc>
          <w:tcPr>
            <w:tcW w:w="221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Successor to Mary Solmonson</w:t>
            </w:r>
          </w:p>
        </w:tc>
      </w:tr>
      <w:tr>
        <w:trPr/>
        <w:tc>
          <w:tcPr>
            <w:tcW w:w="194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*Avril Forster</w:t>
            </w:r>
          </w:p>
        </w:tc>
        <w:tc>
          <w:tcPr>
            <w:tcW w:w="221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Sr. Specialist-Lead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In critical position</w:t>
            </w:r>
          </w:p>
        </w:tc>
      </w:tr>
      <w:tr>
        <w:trPr/>
        <w:tc>
          <w:tcPr>
            <w:tcW w:w="194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*Vanessa Schulte</w:t>
            </w:r>
          </w:p>
        </w:tc>
        <w:tc>
          <w:tcPr>
            <w:tcW w:w="221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Manager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In critical position-ready for more duties</w:t>
            </w:r>
          </w:p>
        </w:tc>
      </w:tr>
      <w:tr>
        <w:trPr/>
        <w:tc>
          <w:tcPr>
            <w:tcW w:w="194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*Bill Hare</w:t>
            </w:r>
          </w:p>
        </w:tc>
        <w:tc>
          <w:tcPr>
            <w:tcW w:w="221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Manager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In critical position</w:t>
            </w:r>
          </w:p>
        </w:tc>
      </w:tr>
      <w:tr>
        <w:trPr/>
        <w:tc>
          <w:tcPr>
            <w:tcW w:w="194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*Stacey Richardson</w:t>
            </w:r>
          </w:p>
        </w:tc>
        <w:tc>
          <w:tcPr>
            <w:tcW w:w="221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Sr. Specialist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Yes-will move to lead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Successor for Linda Bryan</w:t>
            </w:r>
          </w:p>
        </w:tc>
      </w:tr>
      <w:tr>
        <w:trPr>
          <w:trHeight w:val="300" w:hRule="atLeast"/>
        </w:trPr>
        <w:tc>
          <w:tcPr>
            <w:tcW w:w="194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*Berniece Rodriguez</w:t>
            </w:r>
          </w:p>
        </w:tc>
        <w:tc>
          <w:tcPr>
            <w:tcW w:w="221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Staff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Will move to Outsourcing</w:t>
            </w:r>
          </w:p>
        </w:tc>
      </w:tr>
      <w:tr>
        <w:trPr/>
        <w:tc>
          <w:tcPr>
            <w:tcW w:w="194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*Carolyn Gilley</w:t>
            </w:r>
          </w:p>
        </w:tc>
        <w:tc>
          <w:tcPr>
            <w:tcW w:w="221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Manager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In critical position</w:t>
            </w:r>
          </w:p>
        </w:tc>
      </w:tr>
      <w:tr>
        <w:trPr/>
        <w:tc>
          <w:tcPr>
            <w:tcW w:w="1943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*Mary Gosnell</w:t>
            </w:r>
          </w:p>
        </w:tc>
        <w:tc>
          <w:tcPr>
            <w:tcW w:w="2215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Manager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Key player</w:t>
            </w:r>
          </w:p>
        </w:tc>
      </w:tr>
    </w:tbl>
    <w:p>
      <w:pPr>
        <w:pStyle w:val="Caption"/>
        <w:rPr>
          <w:i w:val="false"/>
          <w:i w:val="false"/>
        </w:rPr>
      </w:pPr>
      <w:r>
        <w:rPr>
          <w:i w:val="false"/>
        </w:rPr>
        <w:t>Succession Planning – Promotions or Open Positions that are not Hierarchical Promotions</w:t>
      </w:r>
    </w:p>
    <w:p>
      <w:pPr>
        <w:pStyle w:val="Caption"/>
        <w:rPr>
          <w:i w:val="false"/>
          <w:i w:val="false"/>
        </w:rPr>
      </w:pPr>
      <w:r>
        <w:rPr>
          <w:i w:val="false"/>
        </w:rPr>
        <w:t>Please Place and Asterisk Next to Key Players</w:t>
        <w:br/>
        <w:br/>
      </w:r>
    </w:p>
    <w:p>
      <w:pPr>
        <w:pStyle w:val="Heading3"/>
        <w:ind w:hanging="0" w:start="0"/>
        <w:rPr>
          <w:i/>
          <w:i/>
        </w:rPr>
      </w:pPr>
      <w:r>
        <w:rPr>
          <w:i/>
        </w:rPr>
      </w:r>
    </w:p>
    <w:p>
      <w:pPr>
        <w:pStyle w:val="Heading3"/>
        <w:ind w:hanging="0" w:start="0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sectPr>
      <w:type w:val="nextPage"/>
      <w:pgSz w:orient="landscape" w:w="15840" w:h="12240"/>
      <w:pgMar w:left="1440" w:right="1440" w:gutter="0" w:header="0" w:top="72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b/>
      <w:i/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2000-06-17T18:23:00Z</dcterms:created>
  <dc:creator>kmelodi</dc:creator>
  <dc:description/>
  <dc:language>en-CA</dc:language>
  <cp:lastModifiedBy>Mary Solmonson</cp:lastModifiedBy>
  <cp:lastPrinted>2000-05-25T15:35:00Z</cp:lastPrinted>
  <dcterms:modified xsi:type="dcterms:W3CDTF">2000-06-17T19:41:00Z</dcterms:modified>
  <cp:revision>38</cp:revision>
  <dc:subject/>
  <dc:title>Business Review Meeting Preparation Template</dc:title>
</cp:coreProperties>
</file>