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ind w:firstLine="720" w:start="6480" w:end="0"/>
        <w:rPr/>
      </w:pPr>
      <w:r>
        <w:rPr/>
        <w:t xml:space="preserve">           </w:t>
      </w:r>
      <w:r>
        <w:rPr/>
        <w:t>May 9, 2001</w:t>
      </w:r>
    </w:p>
    <w:p>
      <w:pPr>
        <w:pStyle w:val="Normal"/>
        <w:ind w:firstLine="900" w:start="5760" w:end="0"/>
        <w:rPr/>
      </w:pPr>
      <w:r>
        <w:rPr/>
      </w:r>
    </w:p>
    <w:p>
      <w:pPr>
        <w:pStyle w:val="Normal"/>
        <w:rPr/>
      </w:pPr>
      <w:r>
        <w:rPr/>
        <w:t>Memorandum to:</w:t>
      </w:r>
    </w:p>
    <w:p>
      <w:pPr>
        <w:pStyle w:val="Normal"/>
        <w:rPr/>
      </w:pPr>
      <w:r>
        <w:rPr/>
      </w:r>
    </w:p>
    <w:p>
      <w:pPr>
        <w:pStyle w:val="Normal"/>
        <w:ind w:firstLine="720" w:end="0"/>
        <w:rPr/>
      </w:pPr>
      <w:r>
        <w:rPr/>
        <w:t>Mr. Jeffrey K.  Skilling</w:t>
      </w:r>
    </w:p>
    <w:p>
      <w:pPr>
        <w:pStyle w:val="Normal"/>
        <w:ind w:firstLine="720" w:end="0"/>
        <w:rPr/>
      </w:pPr>
      <w:r>
        <w:rPr/>
        <w:t>President &amp; CEO</w:t>
      </w:r>
    </w:p>
    <w:p>
      <w:pPr>
        <w:pStyle w:val="Normal"/>
        <w:rPr/>
      </w:pPr>
      <w:r>
        <w:rPr/>
      </w:r>
    </w:p>
    <w:p>
      <w:pPr>
        <w:pStyle w:val="Normal"/>
        <w:ind w:firstLine="720" w:end="0"/>
        <w:rPr/>
      </w:pPr>
      <w:r>
        <w:rPr/>
        <w:t>Mr. Kenneth D. Rice</w:t>
      </w:r>
    </w:p>
    <w:p>
      <w:pPr>
        <w:pStyle w:val="Normal"/>
        <w:ind w:firstLine="720" w:end="0"/>
        <w:rPr/>
      </w:pPr>
      <w:r>
        <w:rPr/>
        <w:t>Chairman &amp; CEO, BBS</w:t>
      </w:r>
    </w:p>
    <w:p>
      <w:pPr>
        <w:pStyle w:val="Normal"/>
        <w:rPr/>
      </w:pPr>
      <w:r>
        <w:rPr/>
      </w:r>
    </w:p>
    <w:p>
      <w:pPr>
        <w:pStyle w:val="Heading6"/>
        <w:ind w:hanging="0" w:start="0"/>
        <w:rPr/>
      </w:pPr>
      <w:r>
        <w:rPr/>
        <w:t xml:space="preserve">Securing Significant Productivity Gains on Indirect </w:t>
      </w:r>
    </w:p>
    <w:p>
      <w:pPr>
        <w:pStyle w:val="Heading7"/>
        <w:ind w:hanging="0" w:start="0"/>
        <w:rPr/>
      </w:pPr>
      <w:r>
        <w:rPr/>
        <w:t>Expenses Through Strategic Sourcing</w:t>
      </w:r>
    </w:p>
    <w:p>
      <w:pPr>
        <w:pStyle w:val="Normal"/>
        <w:jc w:val="center"/>
        <w:rPr/>
      </w:pPr>
      <w:r>
        <w:rPr/>
        <w:t>(Outlined Proposal)</w:t>
      </w:r>
    </w:p>
    <w:p>
      <w:pPr>
        <w:pStyle w:val="Heading8"/>
        <w:rPr/>
      </w:pPr>
      <w:r>
        <w:rPr/>
        <w:t>Enron Corporation</w:t>
      </w:r>
    </w:p>
    <w:p>
      <w:pPr>
        <w:pStyle w:val="Normal"/>
        <w:rPr/>
      </w:pPr>
      <w:r>
        <w:rPr/>
      </w:r>
    </w:p>
    <w:p>
      <w:pPr>
        <w:pStyle w:val="Normal"/>
        <w:rPr/>
      </w:pPr>
      <w:r>
        <w:rPr/>
        <w:t>This memorandum outlines how ADVENTIS could assist Enron Corporation secure double-digit (%) savings in in-direct expenses (e.g. Information Technologies, Facilities, Outsourced services, Office supplies) through initiation of strategic sourcing exercise.  It builds on the experience of our consultants who have realized significant savings in multiple industries, particularly in financial institutions, Telcos where back-room operations are Information Technology intensive, often heavy users of out-sourced services, and have office space in prime locations in different regions of the world.</w:t>
      </w:r>
    </w:p>
    <w:p>
      <w:pPr>
        <w:pStyle w:val="Normal"/>
        <w:rPr/>
      </w:pPr>
      <w:r>
        <w:rPr/>
      </w:r>
    </w:p>
    <w:p>
      <w:pPr>
        <w:pStyle w:val="Normal"/>
        <w:rPr/>
      </w:pPr>
      <w:r>
        <w:rPr/>
        <w:t xml:space="preserve">We have organized this memorandum in </w:t>
      </w:r>
      <w:r>
        <w:rPr>
          <w:u w:val="single"/>
        </w:rPr>
        <w:t>five sections</w:t>
      </w:r>
      <w:r>
        <w:rPr/>
        <w:t>:</w:t>
      </w:r>
    </w:p>
    <w:p>
      <w:pPr>
        <w:pStyle w:val="Normal"/>
        <w:numPr>
          <w:ilvl w:val="0"/>
          <w:numId w:val="3"/>
        </w:numPr>
        <w:rPr/>
      </w:pPr>
      <w:r>
        <w:rPr/>
        <w:t>Background</w:t>
      </w:r>
    </w:p>
    <w:p>
      <w:pPr>
        <w:pStyle w:val="Normal"/>
        <w:numPr>
          <w:ilvl w:val="0"/>
          <w:numId w:val="3"/>
        </w:numPr>
        <w:rPr/>
      </w:pPr>
      <w:r>
        <w:rPr/>
        <w:t>The basic principles of strategic sourcing</w:t>
      </w:r>
    </w:p>
    <w:p>
      <w:pPr>
        <w:pStyle w:val="Normal"/>
        <w:numPr>
          <w:ilvl w:val="0"/>
          <w:numId w:val="3"/>
        </w:numPr>
        <w:rPr/>
      </w:pPr>
      <w:r>
        <w:rPr/>
        <w:t>Objective of the proposed exercise</w:t>
      </w:r>
    </w:p>
    <w:p>
      <w:pPr>
        <w:pStyle w:val="Normal"/>
        <w:numPr>
          <w:ilvl w:val="0"/>
          <w:numId w:val="3"/>
        </w:numPr>
        <w:rPr/>
      </w:pPr>
      <w:r>
        <w:rPr/>
        <w:t>Approach</w:t>
      </w:r>
    </w:p>
    <w:p>
      <w:pPr>
        <w:pStyle w:val="Normal"/>
        <w:numPr>
          <w:ilvl w:val="0"/>
          <w:numId w:val="3"/>
        </w:numPr>
        <w:rPr/>
      </w:pPr>
      <w:r>
        <w:rPr/>
        <w:t>Working arrangement</w:t>
      </w:r>
    </w:p>
    <w:p>
      <w:pPr>
        <w:pStyle w:val="Normal"/>
        <w:rPr/>
      </w:pPr>
      <w:r>
        <w:rPr/>
      </w:r>
    </w:p>
    <w:p>
      <w:pPr>
        <w:pStyle w:val="Heading4"/>
        <w:ind w:hanging="0" w:start="0"/>
        <w:rPr/>
      </w:pPr>
      <w:r>
        <w:rPr/>
        <w:t>1 Background</w:t>
      </w:r>
    </w:p>
    <w:p>
      <w:pPr>
        <w:pStyle w:val="Normal"/>
        <w:rPr>
          <w:b/>
          <w:bCs/>
          <w:u w:val="single"/>
        </w:rPr>
      </w:pPr>
      <w:r>
        <w:rPr>
          <w:b/>
          <w:bCs/>
          <w:u w:val="single"/>
        </w:rPr>
      </w:r>
    </w:p>
    <w:p>
      <w:pPr>
        <w:pStyle w:val="Normal"/>
        <w:rPr/>
      </w:pPr>
      <w:r>
        <w:rPr/>
        <w:t>Over the last decade Enron with its increasing involvement in trading of various utility services (e.g. electricity, and natural gas) and commodities (such as pulp and paper) and with the deepening penetration of on-line trading/market exchanges, has become highly dependent on the productivity and economics of in-direct sourced expenses particularly Information Technology, Facilities and Logistics related resource commitments.</w:t>
      </w:r>
    </w:p>
    <w:p>
      <w:pPr>
        <w:pStyle w:val="Header"/>
        <w:tabs>
          <w:tab w:val="clear" w:pos="4320"/>
          <w:tab w:val="clear" w:pos="8640"/>
        </w:tabs>
        <w:rPr/>
      </w:pPr>
      <w:r>
        <w:rPr/>
      </w:r>
    </w:p>
    <w:p>
      <w:pPr>
        <w:pStyle w:val="Normal"/>
        <w:rPr/>
      </w:pPr>
      <w:r>
        <w:rPr/>
        <w:t>We have observed when organizations fundamentally shift their business models (under the influence of new technologies and/or expanded solution space enabled through deregulation), sourcing and usage habits of the critical inputs do not go through a disciplined process of rigorous scrutiny ting both to manage internal demand (e.g. Quantity, Specifications) and to negotiate intelligent sourcing arrangements in terms of rate (eg. $/units, rate/service(s) programs).</w:t>
      </w:r>
    </w:p>
    <w:p>
      <w:pPr>
        <w:pStyle w:val="Normal"/>
        <w:rPr/>
      </w:pPr>
      <w:r>
        <w:rPr/>
      </w:r>
    </w:p>
    <w:p>
      <w:pPr>
        <w:pStyle w:val="Normal"/>
        <w:rPr/>
      </w:pPr>
      <w:r>
        <w:rPr/>
        <w:t>Accordingly we believe, as Enron aggressively expands its trading operations, it will be well served, if through a hard-nosed strategic sourcing exercise it could secure a double-digit (%) savings in the most critical sourced in-direct expenses.  In the process, Enron could establish the rigor of setting demanding benchmarks, and the discipline of realizing the gains through internal and supplier focused initiatives.</w:t>
      </w:r>
    </w:p>
    <w:p>
      <w:pPr>
        <w:pStyle w:val="Normal"/>
        <w:rPr/>
      </w:pPr>
      <w:r>
        <w:rPr/>
      </w:r>
    </w:p>
    <w:p>
      <w:pPr>
        <w:pStyle w:val="Normal"/>
        <w:rPr/>
      </w:pPr>
      <w:r>
        <w:rPr/>
        <w:t xml:space="preserve">ADVENTIS welcomes the opportunity to propose how we could work with Enron in securing the productivity gains in in-direct expenses, which we believe is </w:t>
      </w:r>
      <w:r>
        <w:rPr>
          <w:u w:val="single"/>
        </w:rPr>
        <w:t>very timely</w:t>
      </w:r>
      <w:r>
        <w:rPr/>
        <w:t xml:space="preserve"> in the development curve of Enron.</w:t>
      </w:r>
    </w:p>
    <w:p>
      <w:pPr>
        <w:pStyle w:val="Normal"/>
        <w:rPr/>
      </w:pPr>
      <w:r>
        <w:rPr/>
      </w:r>
    </w:p>
    <w:p>
      <w:pPr>
        <w:pStyle w:val="Header"/>
        <w:tabs>
          <w:tab w:val="clear" w:pos="4320"/>
          <w:tab w:val="clear" w:pos="8640"/>
        </w:tabs>
        <w:rPr>
          <w:b/>
          <w:bCs/>
          <w:u w:val="single"/>
        </w:rPr>
      </w:pPr>
      <w:r>
        <w:rPr>
          <w:b/>
          <w:bCs/>
          <w:u w:val="single"/>
        </w:rPr>
        <w:t xml:space="preserve">Basic Principles of Strategic Sourcing </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In conduct of a sourcing exercise, it is important that certain basic principles are adhered to:</w:t>
      </w:r>
    </w:p>
    <w:p>
      <w:pPr>
        <w:pStyle w:val="Header"/>
        <w:tabs>
          <w:tab w:val="clear" w:pos="4320"/>
          <w:tab w:val="clear" w:pos="8640"/>
        </w:tabs>
        <w:rPr/>
      </w:pPr>
      <w:r>
        <w:rPr/>
      </w:r>
    </w:p>
    <w:p>
      <w:pPr>
        <w:pStyle w:val="Header"/>
        <w:numPr>
          <w:ilvl w:val="0"/>
          <w:numId w:val="4"/>
        </w:numPr>
        <w:tabs>
          <w:tab w:val="clear" w:pos="4320"/>
          <w:tab w:val="clear" w:pos="8640"/>
        </w:tabs>
        <w:rPr/>
      </w:pPr>
      <w:r>
        <w:rPr>
          <w:i/>
          <w:iCs/>
          <w:u w:val="single"/>
        </w:rPr>
        <w:t>Embracing Free Market:</w:t>
      </w:r>
      <w:r>
        <w:rPr/>
        <w:t xml:space="preserve"> A bias towards market based solutions and approaches for defining specifications, bidding and negotiations, and the development and implementation of innovation solutions. </w:t>
      </w:r>
    </w:p>
    <w:p>
      <w:pPr>
        <w:pStyle w:val="Header"/>
        <w:tabs>
          <w:tab w:val="clear" w:pos="4320"/>
          <w:tab w:val="clear" w:pos="8640"/>
        </w:tabs>
        <w:ind w:start="360" w:end="0"/>
        <w:rPr/>
      </w:pPr>
      <w:r>
        <w:rPr/>
      </w:r>
    </w:p>
    <w:p>
      <w:pPr>
        <w:pStyle w:val="Header"/>
        <w:numPr>
          <w:ilvl w:val="0"/>
          <w:numId w:val="4"/>
        </w:numPr>
        <w:tabs>
          <w:tab w:val="clear" w:pos="4320"/>
          <w:tab w:val="clear" w:pos="8640"/>
        </w:tabs>
        <w:rPr/>
      </w:pPr>
      <w:r>
        <w:rPr>
          <w:i/>
          <w:iCs/>
          <w:u w:val="single"/>
        </w:rPr>
        <w:t>Leveraging scale effect:</w:t>
      </w:r>
      <w:r>
        <w:rPr/>
        <w:t xml:space="preserve"> With increasing scale of operations buyers should intermittently, review their degrees of freedom in negotiating price points with the suppliers.</w:t>
      </w:r>
    </w:p>
    <w:p>
      <w:pPr>
        <w:pStyle w:val="Header"/>
        <w:tabs>
          <w:tab w:val="clear" w:pos="4320"/>
          <w:tab w:val="clear" w:pos="8640"/>
        </w:tabs>
        <w:rPr/>
      </w:pPr>
      <w:r>
        <w:rPr/>
      </w:r>
    </w:p>
    <w:p>
      <w:pPr>
        <w:pStyle w:val="Header"/>
        <w:numPr>
          <w:ilvl w:val="0"/>
          <w:numId w:val="4"/>
        </w:numPr>
        <w:tabs>
          <w:tab w:val="clear" w:pos="4320"/>
          <w:tab w:val="clear" w:pos="8640"/>
        </w:tabs>
        <w:rPr/>
      </w:pPr>
      <w:r>
        <w:rPr>
          <w:i/>
          <w:iCs/>
          <w:u w:val="single"/>
        </w:rPr>
        <w:t>Reversing marketing skill effect:</w:t>
      </w:r>
      <w:r>
        <w:rPr/>
        <w:t xml:space="preserve"> While sellers/providers will tend to package different product/services into “one-stop” single offering, reversing the marketing process often uncovers significant savings opportunities for savings.</w:t>
      </w:r>
    </w:p>
    <w:p>
      <w:pPr>
        <w:pStyle w:val="Header"/>
        <w:tabs>
          <w:tab w:val="clear" w:pos="4320"/>
          <w:tab w:val="clear" w:pos="8640"/>
        </w:tabs>
        <w:rPr/>
      </w:pPr>
      <w:r>
        <w:rPr/>
      </w:r>
    </w:p>
    <w:p>
      <w:pPr>
        <w:pStyle w:val="Header"/>
        <w:numPr>
          <w:ilvl w:val="0"/>
          <w:numId w:val="4"/>
        </w:numPr>
        <w:tabs>
          <w:tab w:val="clear" w:pos="4320"/>
          <w:tab w:val="clear" w:pos="8640"/>
        </w:tabs>
        <w:rPr/>
      </w:pPr>
      <w:r>
        <w:rPr>
          <w:i/>
          <w:iCs/>
          <w:u w:val="single"/>
        </w:rPr>
        <w:t>Challenging supplier industry structure:</w:t>
      </w:r>
      <w:r>
        <w:rPr/>
        <w:t xml:space="preserve"> Often buyers pay for significant hidden inefficiencies (because of old habits), which large scale suppliers like Enron must challenge.</w:t>
      </w:r>
    </w:p>
    <w:p>
      <w:pPr>
        <w:pStyle w:val="Header"/>
        <w:tabs>
          <w:tab w:val="clear" w:pos="4320"/>
          <w:tab w:val="clear" w:pos="8640"/>
        </w:tabs>
        <w:rPr/>
      </w:pPr>
      <w:r>
        <w:rPr/>
      </w:r>
    </w:p>
    <w:p>
      <w:pPr>
        <w:pStyle w:val="Header"/>
        <w:numPr>
          <w:ilvl w:val="0"/>
          <w:numId w:val="4"/>
        </w:numPr>
        <w:tabs>
          <w:tab w:val="clear" w:pos="4320"/>
          <w:tab w:val="clear" w:pos="8640"/>
        </w:tabs>
        <w:rPr/>
      </w:pPr>
      <w:r>
        <w:rPr>
          <w:i/>
          <w:iCs/>
          <w:u w:val="single"/>
        </w:rPr>
        <w:t>Realizing Consolidation effect:</w:t>
      </w:r>
      <w:r>
        <w:rPr/>
        <w:t xml:space="preserve"> In order to extend the scale effect, consolidation of sourcing (e.g. Furniture, PCs, Laptops and standardization of sourcing) and standardization of sourcing across divisions and even affiliates, could create volume advantages which Enron should utilize, as it expands its depth and breadth of trading.</w:t>
      </w:r>
    </w:p>
    <w:p>
      <w:pPr>
        <w:pStyle w:val="Header"/>
        <w:tabs>
          <w:tab w:val="clear" w:pos="4320"/>
          <w:tab w:val="clear" w:pos="8640"/>
        </w:tabs>
        <w:rPr/>
      </w:pPr>
      <w:r>
        <w:rPr/>
      </w:r>
    </w:p>
    <w:p>
      <w:pPr>
        <w:pStyle w:val="Header"/>
        <w:numPr>
          <w:ilvl w:val="0"/>
          <w:numId w:val="4"/>
        </w:numPr>
        <w:tabs>
          <w:tab w:val="clear" w:pos="4320"/>
          <w:tab w:val="clear" w:pos="8640"/>
        </w:tabs>
        <w:rPr/>
      </w:pPr>
      <w:r>
        <w:rPr>
          <w:i/>
          <w:iCs/>
          <w:u w:val="single"/>
        </w:rPr>
        <w:t>Monitoring Supply Performance through Metrics:</w:t>
      </w:r>
      <w:r>
        <w:rPr/>
        <w:t xml:space="preserve"> Extreme rigor and precision in measurement of purchasing (eg. Cost metrics, Quality definitions) and un-compromising commitment to implementation are essential.</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Exhibit 1 shows how different sources of inefficiencies could be removed by adopting a set of hard-nosed initiatives.</w:t>
      </w:r>
    </w:p>
    <w:p>
      <w:pPr>
        <w:pStyle w:val="Header"/>
        <w:tabs>
          <w:tab w:val="clear" w:pos="4320"/>
          <w:tab w:val="clear" w:pos="8640"/>
        </w:tabs>
        <w:rPr/>
      </w:pPr>
      <w:r>
        <w:rPr/>
        <w:drawing>
          <wp:anchor behindDoc="0" distT="0" distB="0" distL="114935" distR="114935" simplePos="0" locked="0" layoutInCell="0" allowOverlap="1" relativeHeight="3">
            <wp:simplePos x="0" y="0"/>
            <wp:positionH relativeFrom="column">
              <wp:posOffset>0</wp:posOffset>
            </wp:positionH>
            <wp:positionV relativeFrom="paragraph">
              <wp:posOffset>350520</wp:posOffset>
            </wp:positionV>
            <wp:extent cx="5715000" cy="368046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5715000" cy="3680460"/>
                    </a:xfrm>
                    <a:prstGeom prst="rect">
                      <a:avLst/>
                    </a:prstGeom>
                    <a:noFill/>
                  </pic:spPr>
                </pic:pic>
              </a:graphicData>
            </a:graphic>
          </wp:anchor>
        </w:drawing>
      </w:r>
    </w:p>
    <w:p>
      <w:pPr>
        <w:pStyle w:val="Header"/>
        <w:tabs>
          <w:tab w:val="clear" w:pos="4320"/>
          <w:tab w:val="clear" w:pos="8640"/>
        </w:tabs>
        <w:rPr>
          <w:b/>
          <w:bCs/>
        </w:rPr>
      </w:pPr>
      <w:r>
        <w:rPr>
          <w:b/>
          <w:bCs/>
        </w:rPr>
        <w:t>Exhibit 1</w:t>
      </w:r>
    </w:p>
    <w:p>
      <w:pPr>
        <w:pStyle w:val="Header"/>
        <w:tabs>
          <w:tab w:val="clear" w:pos="4320"/>
          <w:tab w:val="clear" w:pos="8640"/>
        </w:tabs>
        <w:jc w:val="center"/>
        <w:rPr>
          <w:b/>
          <w:bCs/>
        </w:rPr>
      </w:pPr>
      <w:r>
        <w:rPr>
          <w:b/>
          <w:bCs/>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rPr/>
      </w:pPr>
      <w:r>
        <w:rPr/>
        <w:t>As Exhibit 2 illustrates (through a systematic approach) how to identify and realize savings opportunities, through a systematic approach of each sourced category.</w:t>
      </w:r>
    </w:p>
    <w:p>
      <w:pPr>
        <w:pStyle w:val="Header"/>
        <w:tabs>
          <w:tab w:val="clear" w:pos="4320"/>
          <w:tab w:val="clear" w:pos="8640"/>
        </w:tabs>
        <w:rPr/>
      </w:pPr>
      <w:r>
        <w:rPr/>
      </w:r>
    </w:p>
    <w:p>
      <w:pPr>
        <w:pStyle w:val="Header"/>
        <w:tabs>
          <w:tab w:val="clear" w:pos="4320"/>
          <w:tab w:val="clear" w:pos="8640"/>
        </w:tabs>
        <w:rPr>
          <w:b/>
          <w:bCs/>
        </w:rPr>
      </w:pPr>
      <w:r>
        <w:rPr>
          <w:b/>
          <w:bCs/>
        </w:rPr>
        <w:t>Exhibit 2</w:t>
      </w:r>
    </w:p>
    <w:p>
      <w:pPr>
        <w:pStyle w:val="Header"/>
        <w:tabs>
          <w:tab w:val="clear" w:pos="4320"/>
          <w:tab w:val="clear" w:pos="8640"/>
        </w:tabs>
        <w:rPr>
          <w:b/>
          <w:bCs/>
        </w:rPr>
      </w:pPr>
      <w:r>
        <w:rPr>
          <w:b/>
          <w:bCs/>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81320" cy="345757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1320" cy="3457575"/>
                    </a:xfrm>
                    <a:prstGeom prst="rect">
                      <a:avLst/>
                    </a:prstGeom>
                    <a:noFill/>
                  </pic:spPr>
                </pic:pic>
              </a:graphicData>
            </a:graphic>
          </wp:anchor>
        </w:drawing>
      </w:r>
    </w:p>
    <w:p>
      <w:pPr>
        <w:pStyle w:val="Header"/>
        <w:tabs>
          <w:tab w:val="clear" w:pos="4320"/>
          <w:tab w:val="clear" w:pos="8640"/>
        </w:tabs>
        <w:rPr/>
      </w:pPr>
      <w:r>
        <w:rPr/>
      </w:r>
    </w:p>
    <w:p>
      <w:pPr>
        <w:pStyle w:val="Header"/>
        <w:tabs>
          <w:tab w:val="clear" w:pos="4320"/>
          <w:tab w:val="clear" w:pos="8640"/>
        </w:tabs>
        <w:rPr>
          <w:b/>
          <w:bCs/>
          <w:u w:val="single"/>
        </w:rPr>
      </w:pPr>
      <w:r>
        <w:rPr>
          <w:b/>
          <w:bCs/>
          <w:u w:val="single"/>
        </w:rPr>
        <w:t>3. Objective of the Proposed Exercise</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In view of the backdrop we believe the initial sourcing exercise should have </w:t>
      </w:r>
      <w:r>
        <w:rPr>
          <w:u w:val="single"/>
        </w:rPr>
        <w:t>four</w:t>
      </w:r>
      <w:r>
        <w:rPr/>
        <w:t xml:space="preserve"> specific objectives:</w:t>
      </w:r>
    </w:p>
    <w:p>
      <w:pPr>
        <w:pStyle w:val="Header"/>
        <w:tabs>
          <w:tab w:val="clear" w:pos="4320"/>
          <w:tab w:val="clear" w:pos="8640"/>
        </w:tabs>
        <w:rPr/>
      </w:pPr>
      <w:r>
        <w:rPr/>
      </w:r>
    </w:p>
    <w:p>
      <w:pPr>
        <w:pStyle w:val="Header"/>
        <w:numPr>
          <w:ilvl w:val="0"/>
          <w:numId w:val="2"/>
        </w:numPr>
        <w:tabs>
          <w:tab w:val="clear" w:pos="4320"/>
          <w:tab w:val="clear" w:pos="8640"/>
        </w:tabs>
        <w:rPr/>
      </w:pPr>
      <w:r>
        <w:rPr/>
        <w:t>Prioritize the high priority categories and accordingly sequence the waves of savings opportunities</w:t>
      </w:r>
    </w:p>
    <w:p>
      <w:pPr>
        <w:pStyle w:val="Header"/>
        <w:tabs>
          <w:tab w:val="clear" w:pos="4320"/>
          <w:tab w:val="clear" w:pos="8640"/>
        </w:tabs>
        <w:ind w:start="360" w:end="0"/>
        <w:rPr/>
      </w:pPr>
      <w:r>
        <w:rPr/>
      </w:r>
    </w:p>
    <w:p>
      <w:pPr>
        <w:pStyle w:val="Header"/>
        <w:numPr>
          <w:ilvl w:val="0"/>
          <w:numId w:val="2"/>
        </w:numPr>
        <w:tabs>
          <w:tab w:val="clear" w:pos="4320"/>
          <w:tab w:val="clear" w:pos="8640"/>
        </w:tabs>
        <w:rPr/>
      </w:pPr>
      <w:r>
        <w:rPr/>
        <w:t>Identify savings opportunities for wave 1 categories</w:t>
      </w:r>
    </w:p>
    <w:p>
      <w:pPr>
        <w:pStyle w:val="Header"/>
        <w:tabs>
          <w:tab w:val="clear" w:pos="4320"/>
          <w:tab w:val="clear" w:pos="8640"/>
        </w:tabs>
        <w:rPr/>
      </w:pPr>
      <w:r>
        <w:rPr/>
      </w:r>
    </w:p>
    <w:p>
      <w:pPr>
        <w:pStyle w:val="Header"/>
        <w:numPr>
          <w:ilvl w:val="0"/>
          <w:numId w:val="2"/>
        </w:numPr>
        <w:tabs>
          <w:tab w:val="clear" w:pos="4320"/>
          <w:tab w:val="clear" w:pos="8640"/>
        </w:tabs>
        <w:rPr/>
      </w:pPr>
      <w:r>
        <w:rPr/>
        <w:t>Introduce and instill the basic strategic sourcing process within Enron</w:t>
      </w:r>
    </w:p>
    <w:p>
      <w:pPr>
        <w:pStyle w:val="Header"/>
        <w:tabs>
          <w:tab w:val="clear" w:pos="4320"/>
          <w:tab w:val="clear" w:pos="8640"/>
        </w:tabs>
        <w:rPr/>
      </w:pPr>
      <w:r>
        <w:rPr/>
      </w:r>
    </w:p>
    <w:p>
      <w:pPr>
        <w:pStyle w:val="Header"/>
        <w:numPr>
          <w:ilvl w:val="0"/>
          <w:numId w:val="2"/>
        </w:numPr>
        <w:tabs>
          <w:tab w:val="clear" w:pos="4320"/>
          <w:tab w:val="clear" w:pos="8640"/>
        </w:tabs>
        <w:rPr/>
      </w:pPr>
      <w:r>
        <w:rPr/>
        <w:t>Initiate the savings initiatives both with suppliers (eg. negotiation of new contracts) and internal users to implement productive buying and consumption habits.</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numPr>
          <w:ilvl w:val="0"/>
          <w:numId w:val="5"/>
        </w:numPr>
        <w:tabs>
          <w:tab w:val="clear" w:pos="4320"/>
          <w:tab w:val="clear" w:pos="8640"/>
          <w:tab w:val="left" w:pos="360" w:leader="none"/>
        </w:tabs>
        <w:ind w:hanging="720" w:start="720" w:end="0"/>
        <w:rPr>
          <w:b/>
          <w:bCs/>
          <w:u w:val="single"/>
        </w:rPr>
      </w:pPr>
      <w:r>
        <w:rPr>
          <w:b/>
          <w:bCs/>
          <w:u w:val="single"/>
        </w:rPr>
        <w:t>Approach</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 xml:space="preserve">Building on our experience of the conduct of strategic sourcing of “in-direct expenses”, in organizations like Enron, we propose a </w:t>
      </w:r>
      <w:r>
        <w:rPr>
          <w:u w:val="single"/>
        </w:rPr>
        <w:t>three-phase approach</w:t>
      </w:r>
      <w:r>
        <w:rPr/>
        <w:t>:</w:t>
      </w:r>
    </w:p>
    <w:p>
      <w:pPr>
        <w:pStyle w:val="Header"/>
        <w:tabs>
          <w:tab w:val="clear" w:pos="4320"/>
          <w:tab w:val="clear" w:pos="8640"/>
        </w:tabs>
        <w:rPr/>
      </w:pPr>
      <w:r>
        <w:rPr/>
      </w:r>
    </w:p>
    <w:p>
      <w:pPr>
        <w:pStyle w:val="Header"/>
        <w:tabs>
          <w:tab w:val="clear" w:pos="4320"/>
          <w:tab w:val="clear" w:pos="8640"/>
        </w:tabs>
        <w:rPr/>
      </w:pPr>
      <w:r>
        <w:rPr>
          <w:i/>
          <w:iCs/>
          <w:u w:val="single"/>
        </w:rPr>
        <w:t>Phase 1 (6 weeks)</w:t>
      </w:r>
      <w:r>
        <w:rPr/>
        <w:t xml:space="preserve"> - to introduce the principles of strategic sourcing, scan overall saving opportunities, prioritize sourcing categories for Wave 1 and develop a detailed project plan (for Wave 1)</w:t>
      </w:r>
    </w:p>
    <w:p>
      <w:pPr>
        <w:pStyle w:val="Header"/>
        <w:tabs>
          <w:tab w:val="clear" w:pos="4320"/>
          <w:tab w:val="clear" w:pos="8640"/>
        </w:tabs>
        <w:rPr/>
      </w:pPr>
      <w:r>
        <w:rPr/>
      </w:r>
    </w:p>
    <w:p>
      <w:pPr>
        <w:pStyle w:val="Header"/>
        <w:tabs>
          <w:tab w:val="clear" w:pos="4320"/>
          <w:tab w:val="clear" w:pos="8640"/>
        </w:tabs>
        <w:rPr/>
      </w:pPr>
      <w:r>
        <w:rPr>
          <w:i/>
          <w:iCs/>
          <w:u w:val="single"/>
        </w:rPr>
        <w:t>Phase 2 (16-18 weeks)-</w:t>
      </w:r>
      <w:r>
        <w:rPr/>
        <w:t xml:space="preserve"> to secure Wave 1 savings through a </w:t>
      </w:r>
      <w:r>
        <w:rPr>
          <w:u w:val="single"/>
        </w:rPr>
        <w:t>3 step process</w:t>
      </w:r>
      <w:r>
        <w:rPr/>
        <w:t>- Step 1: identify specific opportunities, Step 2: test and validate actions to agree on the opportunities and Step 3: negotiate and define savings plan.</w:t>
      </w:r>
    </w:p>
    <w:p>
      <w:pPr>
        <w:pStyle w:val="Header"/>
        <w:tabs>
          <w:tab w:val="clear" w:pos="4320"/>
          <w:tab w:val="clear" w:pos="8640"/>
        </w:tabs>
        <w:rPr/>
      </w:pPr>
      <w:r>
        <w:rPr/>
      </w:r>
    </w:p>
    <w:p>
      <w:pPr>
        <w:pStyle w:val="Header"/>
        <w:tabs>
          <w:tab w:val="clear" w:pos="4320"/>
          <w:tab w:val="clear" w:pos="8640"/>
        </w:tabs>
        <w:rPr/>
      </w:pPr>
      <w:r>
        <w:rPr>
          <w:i/>
          <w:iCs/>
          <w:u w:val="single"/>
        </w:rPr>
        <w:t>Phase 3(6 weeks):</w:t>
      </w:r>
      <w:r>
        <w:rPr/>
        <w:t xml:space="preserve"> - to Ensure will sustain momentum gained through the Wave 1 exercise. Within Enron, through workshops introducing the specifics of the process, which has delivered Wave 1 savings </w:t>
      </w:r>
    </w:p>
    <w:p>
      <w:pPr>
        <w:pStyle w:val="Header"/>
        <w:tabs>
          <w:tab w:val="clear" w:pos="4320"/>
          <w:tab w:val="clear" w:pos="8640"/>
        </w:tabs>
        <w:rPr/>
      </w:pPr>
      <w:r>
        <w:rPr/>
      </w:r>
    </w:p>
    <w:p>
      <w:pPr>
        <w:pStyle w:val="Header"/>
        <w:tabs>
          <w:tab w:val="clear" w:pos="4320"/>
          <w:tab w:val="clear" w:pos="8640"/>
        </w:tabs>
        <w:rPr/>
      </w:pPr>
      <w:r>
        <w:rPr/>
        <w:t>Exhibit 3 below provides the highlights of the proposed exercise</w:t>
      </w:r>
    </w:p>
    <w:p>
      <w:pPr>
        <w:pStyle w:val="Header"/>
        <w:tabs>
          <w:tab w:val="clear" w:pos="4320"/>
          <w:tab w:val="clear" w:pos="8640"/>
        </w:tabs>
        <w:rPr/>
      </w:pPr>
      <w:r>
        <w:rPr/>
      </w:r>
    </w:p>
    <w:p>
      <w:pPr>
        <w:pStyle w:val="Header"/>
        <w:tabs>
          <w:tab w:val="clear" w:pos="4320"/>
          <w:tab w:val="clear" w:pos="8640"/>
        </w:tabs>
        <w:rPr>
          <w:b/>
          <w:bCs/>
        </w:rPr>
      </w:pPr>
      <w:r>
        <w:rPr>
          <w:b/>
          <w:bCs/>
        </w:rPr>
        <w:t>Exhibit 3</w:t>
      </w:r>
    </w:p>
    <w:p>
      <w:pPr>
        <w:pStyle w:val="Header"/>
        <w:tabs>
          <w:tab w:val="clear" w:pos="4320"/>
          <w:tab w:val="clear" w:pos="8640"/>
        </w:tabs>
        <w:rPr>
          <w:b/>
          <w:bCs/>
        </w:rPr>
      </w:pPr>
      <w:r>
        <w:rPr>
          <w:b/>
          <w:bCs/>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1320" cy="332930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6" r="-4" b="-6"/>
                    <a:stretch>
                      <a:fillRect/>
                    </a:stretch>
                  </pic:blipFill>
                  <pic:spPr bwMode="auto">
                    <a:xfrm>
                      <a:off x="0" y="0"/>
                      <a:ext cx="5481320" cy="3329305"/>
                    </a:xfrm>
                    <a:prstGeom prst="rect">
                      <a:avLst/>
                    </a:prstGeom>
                    <a:noFill/>
                  </pic:spPr>
                </pic:pic>
              </a:graphicData>
            </a:graphic>
          </wp:anchor>
        </w:drawing>
      </w:r>
    </w:p>
    <w:p>
      <w:pPr>
        <w:pStyle w:val="Header"/>
        <w:tabs>
          <w:tab w:val="clear" w:pos="4320"/>
          <w:tab w:val="clear" w:pos="8640"/>
        </w:tabs>
        <w:rPr/>
      </w:pPr>
      <w:r>
        <w:rPr/>
        <w:t>Beyond Phase 3 we plan to scale down our involvement from 8 to 10 consulting resources down to 2 or 3 who will guide the development of Wave 2 and Wave 3 initiatives.  If however, resources within Enron are limited we could continue with same level of support (which should be decided at the end of Phase 2) as provided during Wave 1 exercise.</w:t>
      </w:r>
    </w:p>
    <w:p>
      <w:pPr>
        <w:pStyle w:val="Header"/>
        <w:tabs>
          <w:tab w:val="clear" w:pos="4320"/>
          <w:tab w:val="clear" w:pos="8640"/>
        </w:tabs>
        <w:spacing w:lineRule="auto" w:line="480"/>
        <w:rPr/>
      </w:pPr>
      <w:r>
        <w:rPr/>
      </w:r>
    </w:p>
    <w:p>
      <w:pPr>
        <w:pStyle w:val="Header"/>
        <w:numPr>
          <w:ilvl w:val="0"/>
          <w:numId w:val="5"/>
        </w:numPr>
        <w:tabs>
          <w:tab w:val="clear" w:pos="4320"/>
          <w:tab w:val="clear" w:pos="8640"/>
          <w:tab w:val="left" w:pos="360" w:leader="none"/>
        </w:tabs>
        <w:ind w:hanging="720" w:start="720" w:end="0"/>
        <w:rPr>
          <w:b/>
          <w:bCs/>
          <w:u w:val="single"/>
        </w:rPr>
      </w:pPr>
      <w:r>
        <w:rPr>
          <w:b/>
          <w:bCs/>
          <w:u w:val="single"/>
        </w:rPr>
        <w:t>Working Arrangement</w:t>
      </w:r>
    </w:p>
    <w:p>
      <w:pPr>
        <w:pStyle w:val="Header"/>
        <w:tabs>
          <w:tab w:val="clear" w:pos="4320"/>
          <w:tab w:val="clear" w:pos="8640"/>
        </w:tabs>
        <w:rPr>
          <w:b/>
          <w:bCs/>
          <w:u w:val="single"/>
        </w:rPr>
      </w:pPr>
      <w:r>
        <w:rPr>
          <w:b/>
          <w:bCs/>
          <w:u w:val="single"/>
        </w:rPr>
      </w:r>
    </w:p>
    <w:p>
      <w:pPr>
        <w:pStyle w:val="Header"/>
        <w:tabs>
          <w:tab w:val="clear" w:pos="4320"/>
          <w:tab w:val="clear" w:pos="8640"/>
        </w:tabs>
        <w:rPr/>
      </w:pPr>
      <w:r>
        <w:rPr/>
        <w:t>Given the likely size of the opportunity, and the strategic value of the exercise, the engagement should be led by a steering committee made up from the leadership team of at Enron and couple of senior partners from ADVENTIS.  A working group consisting of several full time consultants (6-8) form ADVENTIS, and 2 to 3 executives from Enron will report to the Steering Committee.</w:t>
      </w:r>
    </w:p>
    <w:p>
      <w:pPr>
        <w:pStyle w:val="Header"/>
        <w:tabs>
          <w:tab w:val="clear" w:pos="4320"/>
          <w:tab w:val="clear" w:pos="8640"/>
        </w:tabs>
        <w:rPr/>
      </w:pPr>
      <w:r>
        <w:rPr/>
      </w:r>
    </w:p>
    <w:p>
      <w:pPr>
        <w:pStyle w:val="Header"/>
        <w:tabs>
          <w:tab w:val="clear" w:pos="4320"/>
          <w:tab w:val="clear" w:pos="8640"/>
        </w:tabs>
        <w:rPr/>
      </w:pPr>
      <w:r>
        <w:rPr/>
        <w:t xml:space="preserve">ADVENTIS bills its professional fees to its clients on the basis of the value of the exercise and size background of consulting resources assigned to a specific engagement. It is our hope for your sourced in-direct expense base close to $4 Billion (including Capex) Enron should be able to realize about 15% savings equivalent to </w:t>
      </w:r>
      <w:r>
        <w:rPr>
          <w:u w:val="single"/>
        </w:rPr>
        <w:t>$600 million/year</w:t>
      </w:r>
      <w:r>
        <w:rPr/>
        <w:t>, which is typically more than a multiple of 10 of the investments to an engagement of this nature.  We will work out the specifics of the working arrangement as we firm up the details of the proposed exercise.</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sz w:val="40"/>
        </w:rPr>
      </w:pPr>
      <w:r>
        <w:rPr>
          <w:sz w:val="40"/>
        </w:rPr>
        <w:t>*           *             *</w:t>
      </w:r>
    </w:p>
    <w:p>
      <w:pPr>
        <w:pStyle w:val="Header"/>
        <w:tabs>
          <w:tab w:val="clear" w:pos="4320"/>
          <w:tab w:val="clear" w:pos="8640"/>
        </w:tabs>
        <w:jc w:val="center"/>
        <w:rPr>
          <w:sz w:val="28"/>
        </w:rPr>
      </w:pPr>
      <w:r>
        <w:rPr>
          <w:sz w:val="28"/>
        </w:rPr>
      </w:r>
    </w:p>
    <w:p>
      <w:pPr>
        <w:pStyle w:val="Header"/>
        <w:tabs>
          <w:tab w:val="clear" w:pos="4320"/>
          <w:tab w:val="clear" w:pos="8640"/>
        </w:tabs>
        <w:rPr/>
      </w:pPr>
      <w:r>
        <w:rPr/>
        <w:t xml:space="preserve">We believe it is an opportune time for Enron to review the productivity of its sourced in-direct expense base.  With increasing intensity of technology and decreasing trading margins, Enron’s economics in turn market capitalization will depend upon how sourced in-direct expenses are continually reduced, and their usage within Enron is efficiently deployed.  ADVENTIS looks forward to assisting Enron realize the potential opportunity. </w:t>
      </w:r>
    </w:p>
    <w:p>
      <w:pPr>
        <w:pStyle w:val="Header"/>
        <w:tabs>
          <w:tab w:val="clear" w:pos="4320"/>
          <w:tab w:val="clear" w:pos="8640"/>
        </w:tabs>
        <w:rPr/>
      </w:pPr>
      <w:r>
        <w:rPr/>
      </w:r>
    </w:p>
    <w:p>
      <w:pPr>
        <w:pStyle w:val="Normal"/>
        <w:rPr/>
      </w:pPr>
      <w:r>
        <w:rPr/>
      </w:r>
    </w:p>
    <w:p>
      <w:pPr>
        <w:pStyle w:val="Normal"/>
        <w:rPr/>
      </w:pPr>
      <w:r>
        <w:rPr/>
        <w:t>Respectfully yours,</w:t>
      </w:r>
    </w:p>
    <w:p>
      <w:pPr>
        <w:pStyle w:val="Normal"/>
        <w:rPr/>
      </w:pPr>
      <w:r>
        <w:rPr/>
      </w:r>
    </w:p>
    <w:p>
      <w:pPr>
        <w:pStyle w:val="Normal"/>
        <w:rPr/>
      </w:pPr>
      <w:r>
        <w:rPr/>
        <w:drawing>
          <wp:inline distT="0" distB="0" distL="0" distR="0">
            <wp:extent cx="1827530" cy="570230"/>
            <wp:effectExtent l="0" t="0" r="0" b="0"/>
            <wp:docPr id="4" name="PGhos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Ghosh" descr="" title=""/>
                    <pic:cNvPicPr>
                      <a:picLocks noChangeAspect="1" noChangeArrowheads="1"/>
                    </pic:cNvPicPr>
                  </pic:nvPicPr>
                  <pic:blipFill>
                    <a:blip r:embed="rId5"/>
                    <a:srcRect l="-8" t="-16" r="-8" b="-16"/>
                    <a:stretch>
                      <a:fillRect/>
                    </a:stretch>
                  </pic:blipFill>
                  <pic:spPr bwMode="auto">
                    <a:xfrm>
                      <a:off x="0" y="0"/>
                      <a:ext cx="1827530" cy="570230"/>
                    </a:xfrm>
                    <a:prstGeom prst="rect">
                      <a:avLst/>
                    </a:prstGeom>
                    <a:noFill/>
                  </pic:spPr>
                </pic:pic>
              </a:graphicData>
            </a:graphic>
          </wp:inline>
        </w:drawing>
      </w:r>
    </w:p>
    <w:p>
      <w:pPr>
        <w:pStyle w:val="Normal"/>
        <w:rPr/>
      </w:pPr>
      <w:r>
        <w:rPr/>
      </w:r>
    </w:p>
    <w:p>
      <w:pPr>
        <w:pStyle w:val="Normal"/>
        <w:rPr/>
      </w:pPr>
      <w:r>
        <w:rPr/>
        <w:t>Partha S. Ghosh</w:t>
      </w:r>
    </w:p>
    <w:p>
      <w:pPr>
        <w:pStyle w:val="Normal"/>
        <w:rPr/>
      </w:pPr>
      <w:r>
        <w:rPr/>
        <w:t>VP, Leader, Global Information Industrial Practice</w:t>
      </w:r>
    </w:p>
    <w:p>
      <w:pPr>
        <w:pStyle w:val="Normal"/>
        <w:rPr/>
      </w:pPr>
      <w:r>
        <w:rPr/>
      </w:r>
    </w:p>
    <w:p>
      <w:pPr>
        <w:pStyle w:val="Normal"/>
        <w:rPr/>
      </w:pPr>
      <w:r>
        <w:rPr/>
      </w:r>
    </w:p>
    <w:p>
      <w:pPr>
        <w:pStyle w:val="Header"/>
        <w:tabs>
          <w:tab w:val="clear" w:pos="4320"/>
          <w:tab w:val="clear" w:pos="8640"/>
        </w:tabs>
        <w:rPr/>
      </w:pPr>
      <w:r>
        <w:rPr/>
        <w:tab/>
      </w:r>
    </w:p>
    <w:p>
      <w:pPr>
        <w:pStyle w:val="Normal"/>
        <w:spacing w:lineRule="auto" w:line="480"/>
        <w:rPr/>
      </w:pPr>
      <w:r>
        <w:rPr/>
        <w:t xml:space="preserve">       </w:t>
      </w:r>
      <w:r>
        <w:rPr/>
        <w:tab/>
      </w:r>
    </w:p>
    <w:p>
      <w:pPr>
        <w:pStyle w:val="Normal"/>
        <w:spacing w:lineRule="auto" w:line="480"/>
        <w:rPr/>
      </w:pPr>
      <w:r>
        <w:rPr/>
      </w:r>
    </w:p>
    <w:p>
      <w:pPr>
        <w:pStyle w:val="Normal"/>
        <w:spacing w:lineRule="auto" w:line="480"/>
        <w:rPr/>
      </w:pPr>
      <w:r>
        <w:rPr/>
      </w:r>
    </w:p>
    <w:p>
      <w:pPr>
        <w:pStyle w:val="Normal"/>
        <w:spacing w:lineRule="auto" w:line="480"/>
        <w:rPr/>
      </w:pPr>
      <w:r>
        <w:rPr/>
        <w:t>PSG/mms</w:t>
      </w:r>
    </w:p>
    <w:sectPr>
      <w:headerReference w:type="default" r:id="rId6"/>
      <w:headerReference w:type="first" r:id="rId7"/>
      <w:type w:val="nextPage"/>
      <w:pgSz w:w="12240" w:h="15840"/>
      <w:pgMar w:left="1260" w:right="1800" w:gutter="0" w:header="720" w:top="162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tab/>
    </w:r>
    <w:r>
      <mc:AlternateContent>
        <mc:Choice Requires="wps">
          <w:drawing>
            <wp:anchor behindDoc="0" distT="0" distB="0" distL="0" distR="0" simplePos="0" locked="0" layoutInCell="0" allowOverlap="1" relativeHeight="8">
              <wp:simplePos x="0" y="0"/>
              <wp:positionH relativeFrom="margin">
                <wp:align>left</wp:align>
              </wp:positionH>
              <wp:positionV relativeFrom="paragraph">
                <wp:posOffset>635</wp:posOffset>
              </wp:positionV>
              <wp:extent cx="448945" cy="229235"/>
              <wp:effectExtent l="0" t="0" r="0" b="0"/>
              <wp:wrapSquare wrapText="bothSides"/>
              <wp:docPr id="5" name="Frame1"/>
              <a:graphic xmlns:a="http://schemas.openxmlformats.org/drawingml/2006/main">
                <a:graphicData uri="http://schemas.microsoft.com/office/word/2010/wordprocessingShape">
                  <wps:wsp>
                    <wps:cNvSpPr txBox="1"/>
                    <wps:spPr>
                      <a:xfrm>
                        <a:off x="0" y="0"/>
                        <a:ext cx="448945" cy="229235"/>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35.35pt;height:18.05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txbxContent>
              </v:textbox>
              <w10:wrap type="square"/>
            </v:rect>
          </w:pict>
        </mc:Fallback>
      </mc:AlternateContent>
    </w:r>
  </w:p>
  <w:p>
    <w:pPr>
      <w:pStyle w:val="Header"/>
      <w:rPr/>
    </w:pPr>
    <w:r>
      <w:rPr/>
      <w:t>Jeffrey K. Skilling</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sz w:val="20"/>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outlineLvl w:val="3"/>
    </w:pPr>
    <w:rPr>
      <w:b/>
      <w:bCs/>
      <w:u w:val="single"/>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jc w:val="center"/>
      <w:outlineLvl w:val="5"/>
    </w:pPr>
    <w:rPr>
      <w:b/>
      <w:bCs/>
    </w:rPr>
  </w:style>
  <w:style w:type="paragraph" w:styleId="Heading7">
    <w:name w:val="heading 7"/>
    <w:basedOn w:val="Normal"/>
    <w:next w:val="Normal"/>
    <w:qFormat/>
    <w:pPr>
      <w:keepNext w:val="true"/>
      <w:numPr>
        <w:ilvl w:val="6"/>
        <w:numId w:val="1"/>
      </w:numPr>
      <w:jc w:val="center"/>
      <w:outlineLvl w:val="6"/>
    </w:pPr>
    <w:rPr>
      <w:b/>
      <w:bCs/>
      <w:u w:val="single"/>
    </w:rPr>
  </w:style>
  <w:style w:type="paragraph" w:styleId="Heading8">
    <w:name w:val="heading 8"/>
    <w:basedOn w:val="Normal"/>
    <w:next w:val="Normal"/>
    <w:qFormat/>
    <w:pPr>
      <w:keepNext w:val="true"/>
      <w:numPr>
        <w:ilvl w:val="7"/>
        <w:numId w:val="1"/>
      </w:numPr>
      <w:ind w:firstLine="720" w:start="2880" w:end="0"/>
      <w:outlineLvl w:val="7"/>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Times New Roman" w:hAnsi="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EndnoteText">
    <w:name w:val="end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2001-05-03T17:51:00Z</dcterms:created>
  <dc:creator>Partha Ghosh</dc:creator>
  <dc:description/>
  <dc:language>en-CA</dc:language>
  <cp:lastModifiedBy>Michelle Sheehan</cp:lastModifiedBy>
  <cp:lastPrinted>2001-05-08T11:40:00Z</cp:lastPrinted>
  <dcterms:modified xsi:type="dcterms:W3CDTF">2001-05-09T15:15:00Z</dcterms:modified>
  <cp:revision>21</cp:revision>
  <dc:subject/>
  <dc:title>Follow up letter to Jeff Skilling at Enron</dc:title>
</cp:coreProperties>
</file>