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media/image3.wmf" ContentType="image/x-wmf"/>
  <Override PartName="/word/media/image4.wmf" ContentType="image/x-wmf"/>
  <Override PartName="/word/media/image5.wmf" ContentType="image/x-wmf"/>
  <Override PartName="/word/media/image6.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ind w:firstLine="720" w:start="6480" w:end="0"/>
        <w:rPr/>
      </w:pPr>
      <w:r>
        <w:rPr/>
        <w:t xml:space="preserve">           </w:t>
      </w:r>
      <w:r>
        <w:rPr/>
        <w:t>June 7, 2001</w:t>
      </w:r>
    </w:p>
    <w:p>
      <w:pPr>
        <w:pStyle w:val="Normal"/>
        <w:ind w:firstLine="900" w:start="5760" w:end="0"/>
        <w:rPr/>
      </w:pPr>
      <w:r>
        <w:rPr/>
      </w:r>
    </w:p>
    <w:p>
      <w:pPr>
        <w:pStyle w:val="Normal"/>
        <w:rPr/>
      </w:pPr>
      <w:r>
        <w:rPr/>
      </w:r>
    </w:p>
    <w:p>
      <w:pPr>
        <w:pStyle w:val="Header"/>
        <w:tabs>
          <w:tab w:val="clear" w:pos="4320"/>
          <w:tab w:val="clear" w:pos="8640"/>
        </w:tabs>
        <w:rPr/>
      </w:pPr>
      <w:r>
        <w:rPr/>
        <w:t>Mr. Jeffrey McMahon</w:t>
      </w:r>
    </w:p>
    <w:p>
      <w:pPr>
        <w:pStyle w:val="Header"/>
        <w:tabs>
          <w:tab w:val="clear" w:pos="4320"/>
          <w:tab w:val="clear" w:pos="8640"/>
        </w:tabs>
        <w:rPr/>
      </w:pPr>
      <w:r>
        <w:rPr/>
        <w:t>President &amp; CEO</w:t>
      </w:r>
    </w:p>
    <w:p>
      <w:pPr>
        <w:pStyle w:val="Normal"/>
        <w:rPr/>
      </w:pPr>
      <w:r>
        <w:rPr/>
        <w:t>Enron Corporation</w:t>
      </w:r>
    </w:p>
    <w:p>
      <w:pPr>
        <w:pStyle w:val="Normal"/>
        <w:rPr/>
      </w:pPr>
      <w:r>
        <w:rPr/>
        <w:t>1400 Smith Street</w:t>
      </w:r>
    </w:p>
    <w:p>
      <w:pPr>
        <w:pStyle w:val="Normal"/>
        <w:rPr/>
      </w:pPr>
      <w:r>
        <w:rPr/>
        <w:t>Houston, TX 77002</w:t>
      </w:r>
    </w:p>
    <w:p>
      <w:pPr>
        <w:pStyle w:val="Normal"/>
        <w:rPr/>
      </w:pPr>
      <w:r>
        <w:rPr/>
      </w:r>
    </w:p>
    <w:p>
      <w:pPr>
        <w:pStyle w:val="Normal"/>
        <w:rPr/>
      </w:pPr>
      <w:r>
        <w:rPr/>
      </w:r>
    </w:p>
    <w:p>
      <w:pPr>
        <w:pStyle w:val="Heading7"/>
        <w:ind w:hanging="0" w:start="0"/>
        <w:rPr/>
      </w:pPr>
      <w:r>
        <w:rPr/>
        <w:t>Building a Substantial Presence in Japan</w:t>
      </w:r>
    </w:p>
    <w:p>
      <w:pPr>
        <w:pStyle w:val="Normal"/>
        <w:rPr/>
      </w:pPr>
      <w:r>
        <w:rPr/>
      </w:r>
    </w:p>
    <w:p>
      <w:pPr>
        <w:pStyle w:val="Normal"/>
        <w:jc w:val="center"/>
        <w:rPr>
          <w:i/>
          <w:i/>
          <w:iCs/>
        </w:rPr>
      </w:pPr>
      <w:r>
        <w:rPr>
          <w:i/>
          <w:iCs/>
        </w:rPr>
        <w:t>~Strictly Confidential WorkPlan ~</w:t>
      </w:r>
    </w:p>
    <w:p>
      <w:pPr>
        <w:pStyle w:val="Heading7"/>
        <w:ind w:hanging="0" w:start="0"/>
        <w:jc w:val="start"/>
        <w:rPr>
          <w:b w:val="false"/>
          <w:bCs w:val="false"/>
          <w:i/>
          <w:i/>
          <w:iCs/>
          <w:u w:val="none"/>
        </w:rPr>
      </w:pPr>
      <w:r>
        <w:rPr>
          <w:b w:val="false"/>
          <w:bCs w:val="false"/>
          <w:i/>
          <w:iCs/>
          <w:u w:val="none"/>
        </w:rPr>
      </w:r>
    </w:p>
    <w:p>
      <w:pPr>
        <w:pStyle w:val="Normal"/>
        <w:rPr>
          <w:b/>
          <w:bCs/>
          <w:u w:val="none"/>
        </w:rPr>
      </w:pPr>
      <w:r>
        <w:rPr>
          <w:b/>
          <w:bCs/>
          <w:u w:val="none"/>
        </w:rPr>
      </w:r>
    </w:p>
    <w:p>
      <w:pPr>
        <w:pStyle w:val="Header"/>
        <w:tabs>
          <w:tab w:val="clear" w:pos="4320"/>
          <w:tab w:val="clear" w:pos="8640"/>
        </w:tabs>
        <w:rPr/>
      </w:pPr>
      <w:r>
        <w:rPr/>
        <w:t>Dear Jeff,</w:t>
      </w:r>
    </w:p>
    <w:p>
      <w:pPr>
        <w:pStyle w:val="Normal"/>
        <w:rPr/>
      </w:pPr>
      <w:r>
        <w:rPr/>
      </w:r>
    </w:p>
    <w:p>
      <w:pPr>
        <w:pStyle w:val="Normal"/>
        <w:rPr/>
      </w:pPr>
      <w:r>
        <w:rPr/>
        <w:t>Pursuant our meeting in your office on June 1</w:t>
      </w:r>
      <w:r>
        <w:rPr>
          <w:vertAlign w:val="superscript"/>
        </w:rPr>
        <w:t>st</w:t>
      </w:r>
      <w:r>
        <w:rPr/>
        <w:t xml:space="preserve"> 2001 on the strategic possibilities of introducing modern trading practice in Japan, we have outlined an approach which we believe would help Enron develop a strong foothold in Japan while minimizing the downside risks.  In order to realize the opportunities in a systematic and practical fashion, the Phase 1 initiative will build on our knowledge base in Japan and Asia Pacific market inefficiencies, corporate trust and confidence we have enjoyed because of my long-standing working relationship with the Japanese Corporate world.  </w:t>
      </w:r>
    </w:p>
    <w:p>
      <w:pPr>
        <w:pStyle w:val="Normal"/>
        <w:rPr/>
      </w:pPr>
      <w:r>
        <w:rPr/>
      </w:r>
    </w:p>
    <w:p>
      <w:pPr>
        <w:pStyle w:val="Normal"/>
        <w:rPr/>
      </w:pPr>
      <w:r>
        <w:rPr/>
        <w:t xml:space="preserve">We have organized this workplan into </w:t>
      </w:r>
      <w:r>
        <w:rPr>
          <w:u w:val="single"/>
        </w:rPr>
        <w:t>six sections</w:t>
      </w:r>
      <w:r>
        <w:rPr/>
        <w:t>:</w:t>
      </w:r>
    </w:p>
    <w:p>
      <w:pPr>
        <w:pStyle w:val="Normal"/>
        <w:rPr/>
      </w:pPr>
      <w:r>
        <w:rPr/>
      </w:r>
    </w:p>
    <w:p>
      <w:pPr>
        <w:pStyle w:val="Normal"/>
        <w:numPr>
          <w:ilvl w:val="0"/>
          <w:numId w:val="6"/>
        </w:numPr>
        <w:rPr/>
      </w:pPr>
      <w:r>
        <w:rPr/>
        <w:t>ADVENTIS qualifications</w:t>
      </w:r>
    </w:p>
    <w:p>
      <w:pPr>
        <w:pStyle w:val="Normal"/>
        <w:numPr>
          <w:ilvl w:val="0"/>
          <w:numId w:val="6"/>
        </w:numPr>
        <w:rPr/>
      </w:pPr>
      <w:r>
        <w:rPr/>
        <w:t>Background description why we believe it is an opportune time for Enron to consider a major strategic thrust in Japan/Asia Pacific.</w:t>
      </w:r>
    </w:p>
    <w:p>
      <w:pPr>
        <w:pStyle w:val="Normal"/>
        <w:numPr>
          <w:ilvl w:val="0"/>
          <w:numId w:val="6"/>
        </w:numPr>
        <w:rPr/>
      </w:pPr>
      <w:r>
        <w:rPr/>
        <w:t>Opportunities specific to Trading in industrial commodities in the Asia Pacific region.</w:t>
      </w:r>
    </w:p>
    <w:p>
      <w:pPr>
        <w:pStyle w:val="Normal"/>
        <w:numPr>
          <w:ilvl w:val="0"/>
          <w:numId w:val="6"/>
        </w:numPr>
        <w:rPr/>
      </w:pPr>
      <w:r>
        <w:rPr/>
        <w:t>Objectives of Enron-ADVENTIS working relationship</w:t>
      </w:r>
    </w:p>
    <w:p>
      <w:pPr>
        <w:pStyle w:val="Normal"/>
        <w:numPr>
          <w:ilvl w:val="0"/>
          <w:numId w:val="6"/>
        </w:numPr>
        <w:rPr/>
      </w:pPr>
      <w:r>
        <w:rPr/>
        <w:t xml:space="preserve">Approach describing how we may structure the proposed undertaking </w:t>
      </w:r>
    </w:p>
    <w:p>
      <w:pPr>
        <w:pStyle w:val="Normal"/>
        <w:numPr>
          <w:ilvl w:val="0"/>
          <w:numId w:val="6"/>
        </w:numPr>
        <w:rPr/>
      </w:pPr>
      <w:r>
        <w:rPr/>
        <w:t>Working arrangment</w:t>
      </w:r>
    </w:p>
    <w:p>
      <w:pPr>
        <w:pStyle w:val="Normal"/>
        <w:rPr/>
      </w:pPr>
      <w:r>
        <w:rPr/>
      </w:r>
    </w:p>
    <w:p>
      <w:pPr>
        <w:pStyle w:val="Heading4"/>
        <w:ind w:hanging="0" w:start="0"/>
        <w:rPr/>
      </w:pPr>
      <w:r>
        <w:rPr/>
        <w:t>1 ADVENTIS Qualifications</w:t>
      </w:r>
    </w:p>
    <w:p>
      <w:pPr>
        <w:pStyle w:val="Normal"/>
        <w:rPr>
          <w:b/>
          <w:bCs/>
          <w:u w:val="single"/>
        </w:rPr>
      </w:pPr>
      <w:r>
        <w:rPr>
          <w:b/>
          <w:bCs/>
          <w:u w:val="single"/>
        </w:rPr>
      </w:r>
    </w:p>
    <w:p>
      <w:pPr>
        <w:pStyle w:val="Normal"/>
        <w:rPr>
          <w:bCs/>
        </w:rPr>
      </w:pPr>
      <w:r>
        <w:rPr>
          <w:bCs/>
        </w:rPr>
        <w:t xml:space="preserve">ADVENTIS is a leading management and strategy consultancy to the converging global information industries.  For almost a decade, we have enabled industry-leading performance for our clients by focusing on the epicenter of unprecedented disruption in the global economy - the convergence of the global Communications, Computing, Commerce, and Content industries. We make strategy work, rapidly and measurably, by applying </w:t>
      </w:r>
      <w:r>
        <w:rPr>
          <w:bCs/>
          <w:i/>
          <w:iCs/>
        </w:rPr>
        <w:t xml:space="preserve">Real Economy Values </w:t>
      </w:r>
      <w:r>
        <w:rPr>
          <w:bCs/>
        </w:rPr>
        <w:t>to</w:t>
      </w:r>
      <w:r>
        <w:rPr>
          <w:bCs/>
          <w:i/>
          <w:iCs/>
        </w:rPr>
        <w:t xml:space="preserve"> Next Economy Strategies.</w:t>
      </w:r>
    </w:p>
    <w:p>
      <w:pPr>
        <w:pStyle w:val="Normal"/>
        <w:rPr>
          <w:bCs/>
        </w:rPr>
      </w:pPr>
      <w:r>
        <w:rPr>
          <w:bCs/>
        </w:rPr>
      </w:r>
    </w:p>
    <w:p>
      <w:pPr>
        <w:pStyle w:val="Normal"/>
        <w:rPr>
          <w:rFonts w:ascii="Arial" w:hAnsi="Arial" w:cs="Arial"/>
          <w:bCs/>
        </w:rPr>
      </w:pPr>
      <w:r>
        <w:rPr>
          <w:bCs/>
        </w:rPr>
        <w:t>At ADVENTIS, we apply the power of our peerless industry expertise to achieve breakthrough results for leaders navigating turbulent convergence.  These capabilities are unleashed through our Global Carrier, Commerce &amp; Content, Convergent Solution Providers, Information Industrial and Wireless Practices</w:t>
      </w:r>
    </w:p>
    <w:p>
      <w:pPr>
        <w:pStyle w:val="Normal"/>
        <w:rPr>
          <w:rFonts w:ascii="Arial" w:hAnsi="Arial" w:cs="Arial"/>
          <w:bCs/>
        </w:rPr>
      </w:pPr>
      <w:r>
        <w:rPr>
          <w:rFonts w:cs="Arial" w:ascii="Arial" w:hAnsi="Arial"/>
          <w:bCs/>
        </w:rPr>
      </w:r>
    </w:p>
    <w:p>
      <w:pPr>
        <w:pStyle w:val="Normal"/>
        <w:jc w:val="center"/>
        <w:rPr/>
      </w:pPr>
      <w:r>
        <w:rPr/>
        <w:drawing>
          <wp:inline distT="0" distB="0" distL="0" distR="0">
            <wp:extent cx="4638675" cy="2598420"/>
            <wp:effectExtent l="0" t="0" r="0" b="0"/>
            <wp:docPr id="1"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 descr="" title=""/>
                    <pic:cNvPicPr>
                      <a:picLocks noChangeAspect="1" noChangeArrowheads="1"/>
                    </pic:cNvPicPr>
                  </pic:nvPicPr>
                  <pic:blipFill>
                    <a:blip r:embed="rId2"/>
                    <a:srcRect l="-4" t="-8" r="-4" b="-8"/>
                    <a:stretch>
                      <a:fillRect/>
                    </a:stretch>
                  </pic:blipFill>
                  <pic:spPr bwMode="auto">
                    <a:xfrm>
                      <a:off x="0" y="0"/>
                      <a:ext cx="4638675" cy="2598420"/>
                    </a:xfrm>
                    <a:prstGeom prst="rect">
                      <a:avLst/>
                    </a:prstGeom>
                    <a:noFill/>
                  </pic:spPr>
                </pic:pic>
              </a:graphicData>
            </a:graphic>
          </wp:inline>
        </w:drawing>
      </w:r>
    </w:p>
    <w:p>
      <w:pPr>
        <w:pStyle w:val="Normal"/>
        <w:rPr>
          <w:rFonts w:ascii="Arial" w:hAnsi="Arial" w:cs="Arial"/>
          <w:bCs/>
        </w:rPr>
      </w:pPr>
      <w:r>
        <w:rPr>
          <w:rFonts w:cs="Arial" w:ascii="Arial" w:hAnsi="Arial"/>
          <w:bCs/>
        </w:rPr>
      </w:r>
    </w:p>
    <w:p>
      <w:pPr>
        <w:pStyle w:val="BodyText"/>
        <w:rPr>
          <w:bCs/>
        </w:rPr>
      </w:pPr>
      <w:r>
        <w:rPr>
          <w:bCs/>
        </w:rPr>
        <w:t>Select ADVENTIS clients represent a wide range of companies:</w:t>
      </w:r>
    </w:p>
    <w:p>
      <w:pPr>
        <w:pStyle w:val="Normal"/>
        <w:rPr>
          <w:rFonts w:ascii="Arial" w:hAnsi="Arial" w:cs="Arial"/>
          <w:bCs/>
        </w:rPr>
      </w:pPr>
      <w:r>
        <w:rPr>
          <w:rFonts w:cs="Arial" w:ascii="Arial" w:hAnsi="Arial"/>
          <w:bCs/>
        </w:rPr>
      </w:r>
    </w:p>
    <w:p>
      <w:pPr>
        <w:pStyle w:val="Normal"/>
        <w:rPr/>
      </w:pPr>
      <w:r>
        <w:rPr/>
        <w:drawing>
          <wp:inline distT="0" distB="0" distL="0" distR="0">
            <wp:extent cx="4370705" cy="2485390"/>
            <wp:effectExtent l="0" t="0" r="0" b="0"/>
            <wp:docPr id="2"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 descr="" title=""/>
                    <pic:cNvPicPr>
                      <a:picLocks noChangeAspect="1" noChangeArrowheads="1"/>
                    </pic:cNvPicPr>
                  </pic:nvPicPr>
                  <pic:blipFill>
                    <a:blip r:embed="rId3"/>
                    <a:srcRect l="-5" t="-8" r="-5" b="-8"/>
                    <a:stretch>
                      <a:fillRect/>
                    </a:stretch>
                  </pic:blipFill>
                  <pic:spPr bwMode="auto">
                    <a:xfrm>
                      <a:off x="0" y="0"/>
                      <a:ext cx="4370705" cy="2485390"/>
                    </a:xfrm>
                    <a:prstGeom prst="rect">
                      <a:avLst/>
                    </a:prstGeom>
                    <a:noFill/>
                  </pic:spPr>
                </pic:pic>
              </a:graphicData>
            </a:graphic>
          </wp:inline>
        </w:drawing>
      </w:r>
    </w:p>
    <w:p>
      <w:pPr>
        <w:pStyle w:val="Normal"/>
        <w:rPr/>
      </w:pPr>
      <w:r>
        <w:rPr/>
      </w:r>
    </w:p>
    <w:p>
      <w:pPr>
        <w:pStyle w:val="BodyText2"/>
        <w:jc w:val="start"/>
        <w:rPr>
          <w:rFonts w:ascii="Times New Roman" w:hAnsi="Times New Roman" w:cs="Times New Roman"/>
          <w:b w:val="false"/>
          <w:bCs w:val="false"/>
          <w:sz w:val="24"/>
        </w:rPr>
      </w:pPr>
      <w:r>
        <w:rPr>
          <w:rFonts w:cs="Times New Roman" w:ascii="Times New Roman" w:hAnsi="Times New Roman"/>
          <w:b w:val="false"/>
          <w:bCs w:val="false"/>
          <w:sz w:val="24"/>
        </w:rPr>
      </w:r>
    </w:p>
    <w:p>
      <w:pPr>
        <w:pStyle w:val="BodyText2"/>
        <w:jc w:val="start"/>
        <w:rPr>
          <w:rFonts w:ascii="Times New Roman" w:hAnsi="Times New Roman" w:cs="Times New Roman"/>
          <w:b w:val="false"/>
          <w:bCs w:val="false"/>
          <w:sz w:val="24"/>
        </w:rPr>
      </w:pPr>
      <w:r>
        <w:rPr>
          <w:rFonts w:cs="Times New Roman" w:ascii="Times New Roman" w:hAnsi="Times New Roman"/>
          <w:b w:val="false"/>
          <w:bCs w:val="false"/>
          <w:sz w:val="24"/>
        </w:rPr>
      </w:r>
    </w:p>
    <w:p>
      <w:pPr>
        <w:pStyle w:val="BodyText2"/>
        <w:jc w:val="start"/>
        <w:rPr>
          <w:rFonts w:ascii="Times New Roman" w:hAnsi="Times New Roman" w:cs="Times New Roman"/>
          <w:b w:val="false"/>
          <w:bCs w:val="false"/>
          <w:sz w:val="24"/>
        </w:rPr>
      </w:pPr>
      <w:r>
        <w:rPr>
          <w:rFonts w:cs="Times New Roman" w:ascii="Times New Roman" w:hAnsi="Times New Roman"/>
          <w:b w:val="false"/>
          <w:bCs w:val="false"/>
          <w:sz w:val="24"/>
        </w:rPr>
      </w:r>
    </w:p>
    <w:p>
      <w:pPr>
        <w:pStyle w:val="BodyText2"/>
        <w:jc w:val="start"/>
        <w:rPr>
          <w:rFonts w:ascii="Times New Roman" w:hAnsi="Times New Roman" w:cs="Times New Roman"/>
          <w:b w:val="false"/>
          <w:bCs w:val="false"/>
          <w:sz w:val="24"/>
        </w:rPr>
      </w:pPr>
      <w:r>
        <w:rPr>
          <w:rFonts w:cs="Times New Roman" w:ascii="Times New Roman" w:hAnsi="Times New Roman"/>
          <w:b w:val="false"/>
          <w:bCs w:val="false"/>
          <w:sz w:val="24"/>
        </w:rPr>
      </w:r>
    </w:p>
    <w:p>
      <w:pPr>
        <w:pStyle w:val="BodyText2"/>
        <w:jc w:val="start"/>
        <w:rPr>
          <w:rFonts w:ascii="Times New Roman" w:hAnsi="Times New Roman" w:cs="Times New Roman"/>
          <w:b w:val="false"/>
          <w:bCs w:val="false"/>
          <w:sz w:val="24"/>
        </w:rPr>
      </w:pPr>
      <w:r>
        <w:rPr>
          <w:rFonts w:cs="Times New Roman" w:ascii="Times New Roman" w:hAnsi="Times New Roman"/>
          <w:b w:val="false"/>
          <w:bCs w:val="false"/>
          <w:sz w:val="24"/>
        </w:rPr>
      </w:r>
    </w:p>
    <w:p>
      <w:pPr>
        <w:pStyle w:val="BodyText2"/>
        <w:jc w:val="start"/>
        <w:rPr>
          <w:rFonts w:ascii="Times New Roman" w:hAnsi="Times New Roman" w:cs="Times New Roman"/>
          <w:b w:val="false"/>
          <w:bCs w:val="false"/>
          <w:sz w:val="24"/>
        </w:rPr>
      </w:pPr>
      <w:r>
        <w:rPr>
          <w:rFonts w:cs="Times New Roman" w:ascii="Times New Roman" w:hAnsi="Times New Roman"/>
          <w:b w:val="false"/>
          <w:bCs w:val="false"/>
          <w:sz w:val="24"/>
        </w:rPr>
      </w:r>
    </w:p>
    <w:p>
      <w:pPr>
        <w:pStyle w:val="BodyText2"/>
        <w:jc w:val="start"/>
        <w:rPr>
          <w:rFonts w:ascii="Times New Roman" w:hAnsi="Times New Roman" w:cs="Times New Roman"/>
          <w:b w:val="false"/>
          <w:bCs w:val="false"/>
          <w:sz w:val="24"/>
        </w:rPr>
      </w:pPr>
      <w:r>
        <w:rPr>
          <w:rFonts w:cs="Times New Roman" w:ascii="Times New Roman" w:hAnsi="Times New Roman"/>
          <w:b w:val="false"/>
          <w:bCs w:val="false"/>
          <w:sz w:val="24"/>
        </w:rPr>
      </w:r>
    </w:p>
    <w:p>
      <w:pPr>
        <w:pStyle w:val="BodyText2"/>
        <w:jc w:val="start"/>
        <w:rPr>
          <w:rFonts w:ascii="Times New Roman" w:hAnsi="Times New Roman" w:cs="Times New Roman"/>
          <w:b w:val="false"/>
          <w:bCs w:val="false"/>
          <w:sz w:val="24"/>
        </w:rPr>
      </w:pPr>
      <w:r>
        <w:rPr>
          <w:rFonts w:cs="Times New Roman" w:ascii="Times New Roman" w:hAnsi="Times New Roman"/>
          <w:b w:val="false"/>
          <w:bCs w:val="false"/>
          <w:sz w:val="24"/>
        </w:rPr>
        <w:t>ADVENTIS is uniquely positioned to assist Nippon Steel to identify realistic and breakthrough business strategies:</w:t>
      </w:r>
    </w:p>
    <w:p>
      <w:pPr>
        <w:pStyle w:val="Normal"/>
        <w:rPr>
          <w:rFonts w:ascii="Times New Roman" w:hAnsi="Times New Roman" w:cs="Times New Roman"/>
          <w:b/>
          <w:bCs/>
          <w:color w:val="000000"/>
          <w:sz w:val="24"/>
        </w:rPr>
      </w:pPr>
      <w:r>
        <w:rPr>
          <w:rFonts w:cs="Times New Roman"/>
          <w:b/>
          <w:bCs/>
          <w:color w:val="000000"/>
          <w:sz w:val="24"/>
        </w:rPr>
      </w:r>
    </w:p>
    <w:p>
      <w:pPr>
        <w:pStyle w:val="Normal"/>
        <w:numPr>
          <w:ilvl w:val="0"/>
          <w:numId w:val="2"/>
        </w:numPr>
        <w:spacing w:lineRule="auto" w:line="216" w:before="0" w:after="120"/>
        <w:rPr>
          <w:color w:val="000000"/>
        </w:rPr>
      </w:pPr>
      <w:r>
        <w:rPr>
          <w:color w:val="000000"/>
        </w:rPr>
        <w:t>We have extensive experience and a demonstrated capability in helping companies to segment their markets rigorously and creatively while identifying the richest opportunity areas</w:t>
      </w:r>
    </w:p>
    <w:p>
      <w:pPr>
        <w:pStyle w:val="Normal"/>
        <w:numPr>
          <w:ilvl w:val="0"/>
          <w:numId w:val="2"/>
        </w:numPr>
        <w:spacing w:lineRule="auto" w:line="216" w:before="0" w:after="120"/>
        <w:rPr>
          <w:color w:val="000000"/>
        </w:rPr>
      </w:pPr>
      <w:r>
        <w:rPr>
          <w:color w:val="000000"/>
        </w:rPr>
        <w:t xml:space="preserve">We have worked with other leading Japan-based firms on a number of assignments focused on entering into new network related businesses </w:t>
      </w:r>
    </w:p>
    <w:p>
      <w:pPr>
        <w:pStyle w:val="Normal"/>
        <w:numPr>
          <w:ilvl w:val="0"/>
          <w:numId w:val="5"/>
        </w:numPr>
        <w:spacing w:lineRule="auto" w:line="216" w:before="0" w:after="120"/>
        <w:rPr>
          <w:color w:val="000000"/>
        </w:rPr>
      </w:pPr>
      <w:r>
        <w:rPr>
          <w:color w:val="000000"/>
        </w:rPr>
        <w:t>Our collaborative style of working with clients is distinctive and empowering:</w:t>
      </w:r>
    </w:p>
    <w:p>
      <w:pPr>
        <w:pStyle w:val="Normal"/>
        <w:ind w:start="360" w:end="0"/>
        <w:rPr/>
      </w:pPr>
      <w:r>
        <w:rPr>
          <w:color w:val="000000"/>
        </w:rPr>
        <w:t xml:space="preserve">- </w:t>
        <w:tab/>
        <w:t xml:space="preserve">We work </w:t>
      </w:r>
      <w:r>
        <w:rPr>
          <w:i/>
          <w:color w:val="000000"/>
        </w:rPr>
        <w:t>with</w:t>
      </w:r>
      <w:r>
        <w:rPr>
          <w:color w:val="000000"/>
        </w:rPr>
        <w:t xml:space="preserve"> clients, not </w:t>
      </w:r>
      <w:r>
        <w:rPr>
          <w:i/>
          <w:color w:val="000000"/>
        </w:rPr>
        <w:t>at, for</w:t>
      </w:r>
      <w:r>
        <w:rPr>
          <w:color w:val="000000"/>
        </w:rPr>
        <w:t xml:space="preserve">, or </w:t>
      </w:r>
      <w:r>
        <w:rPr>
          <w:i/>
          <w:color w:val="000000"/>
        </w:rPr>
        <w:t>to</w:t>
      </w:r>
      <w:r>
        <w:rPr>
          <w:color w:val="000000"/>
        </w:rPr>
        <w:t xml:space="preserve"> them</w:t>
      </w:r>
    </w:p>
    <w:p>
      <w:pPr>
        <w:pStyle w:val="Normal"/>
        <w:numPr>
          <w:ilvl w:val="0"/>
          <w:numId w:val="7"/>
        </w:numPr>
        <w:ind w:hanging="360" w:start="720" w:end="-450"/>
        <w:rPr/>
      </w:pPr>
      <w:r>
        <w:rPr/>
        <w:t xml:space="preserve">Our methodologies are </w:t>
      </w:r>
      <w:r>
        <w:rPr>
          <w:i/>
        </w:rPr>
        <w:t>completely</w:t>
      </w:r>
      <w:r>
        <w:rPr/>
        <w:t xml:space="preserve"> accessible to you; there are no mysteries</w:t>
      </w:r>
    </w:p>
    <w:p>
      <w:pPr>
        <w:pStyle w:val="Normal"/>
        <w:numPr>
          <w:ilvl w:val="0"/>
          <w:numId w:val="7"/>
        </w:numPr>
        <w:ind w:hanging="360" w:start="720" w:end="-450"/>
        <w:rPr>
          <w:b/>
        </w:rPr>
      </w:pPr>
      <w:r>
        <w:rPr/>
        <w:t>Our analyses and outputs are extremely thorough and rigorous</w:t>
      </w:r>
    </w:p>
    <w:p>
      <w:pPr>
        <w:pStyle w:val="Normal"/>
        <w:rPr>
          <w:b/>
        </w:rPr>
      </w:pPr>
      <w:r>
        <w:rPr>
          <w:b/>
        </w:rPr>
      </w:r>
    </w:p>
    <w:p>
      <w:pPr>
        <w:pStyle w:val="Normal"/>
        <w:rPr/>
      </w:pPr>
      <w:r>
        <w:rPr/>
        <w:t xml:space="preserve">ADVENTIS welcomes the opportunity to propose how we could work with Enron in securing the strategic gains the Japanese Ecnomoy, which we believe is </w:t>
      </w:r>
      <w:r>
        <w:rPr>
          <w:u w:val="single"/>
        </w:rPr>
        <w:t>very timely</w:t>
      </w:r>
      <w:r>
        <w:rPr/>
        <w:t xml:space="preserve"> in the development curve of Enron.</w:t>
      </w:r>
    </w:p>
    <w:p>
      <w:pPr>
        <w:pStyle w:val="Header"/>
        <w:tabs>
          <w:tab w:val="clear" w:pos="4320"/>
          <w:tab w:val="clear" w:pos="8640"/>
        </w:tabs>
        <w:rPr>
          <w:b/>
          <w:bCs/>
          <w:u w:val="single"/>
        </w:rPr>
      </w:pPr>
      <w:r>
        <w:rPr>
          <w:b/>
          <w:bCs/>
          <w:u w:val="single"/>
        </w:rPr>
      </w:r>
    </w:p>
    <w:p>
      <w:pPr>
        <w:pStyle w:val="Header"/>
        <w:tabs>
          <w:tab w:val="clear" w:pos="4320"/>
          <w:tab w:val="clear" w:pos="8640"/>
        </w:tabs>
        <w:rPr>
          <w:b/>
          <w:bCs/>
          <w:u w:val="single"/>
        </w:rPr>
      </w:pPr>
      <w:r>
        <w:rPr>
          <w:b/>
          <w:bCs/>
          <w:u w:val="single"/>
        </w:rPr>
        <w:t>2. Background</w:t>
      </w:r>
    </w:p>
    <w:p>
      <w:pPr>
        <w:pStyle w:val="Header"/>
        <w:tabs>
          <w:tab w:val="clear" w:pos="4320"/>
          <w:tab w:val="clear" w:pos="8640"/>
        </w:tabs>
        <w:rPr>
          <w:b/>
          <w:bCs/>
          <w:u w:val="single"/>
        </w:rPr>
      </w:pPr>
      <w:r>
        <w:rPr>
          <w:b/>
          <w:bCs/>
          <w:u w:val="single"/>
        </w:rPr>
      </w:r>
    </w:p>
    <w:p>
      <w:pPr>
        <w:pStyle w:val="Header"/>
        <w:tabs>
          <w:tab w:val="clear" w:pos="4320"/>
          <w:tab w:val="clear" w:pos="8640"/>
        </w:tabs>
        <w:rPr/>
      </w:pPr>
      <w:r>
        <w:rPr/>
        <w:t>As you well know because of the long recession since late eighties/early nineties, Japanese leadership both at the Corporate and Government levels have now become extremely serious and determined to identify and implement fundamental changes in the Japanese business practices.  The leading companies known for their extreme conservative attitude toward overseas companies are now actively seeking ways to unshackle themselves from old habits.  Accordingly we believe Enron given its experience of introducing market oriented, modern business practices to help industries move toward efficient transactions, is uniquely positioned to capture the emerging opportunities in the Asia Pacific trading arena, where Japanese trading companies have historically dominated over one century.</w:t>
      </w:r>
    </w:p>
    <w:p>
      <w:pPr>
        <w:pStyle w:val="Header"/>
        <w:tabs>
          <w:tab w:val="clear" w:pos="4320"/>
          <w:tab w:val="clear" w:pos="8640"/>
        </w:tabs>
        <w:rPr/>
      </w:pPr>
      <w:r>
        <w:rPr/>
      </w:r>
    </w:p>
    <w:p>
      <w:pPr>
        <w:pStyle w:val="Header"/>
        <w:tabs>
          <w:tab w:val="clear" w:pos="4320"/>
          <w:tab w:val="clear" w:pos="8640"/>
        </w:tabs>
        <w:rPr/>
      </w:pPr>
      <w:r>
        <w:rPr/>
        <w:t>Specifically, in organizing the rationale of Enron’s strategic re-emphasis on Japan the following points should guide the process of engagement:</w:t>
      </w:r>
    </w:p>
    <w:p>
      <w:pPr>
        <w:pStyle w:val="Header"/>
        <w:tabs>
          <w:tab w:val="clear" w:pos="4320"/>
          <w:tab w:val="clear" w:pos="8640"/>
        </w:tabs>
        <w:rPr/>
      </w:pPr>
      <w:r>
        <w:rPr/>
      </w:r>
    </w:p>
    <w:p>
      <w:pPr>
        <w:pStyle w:val="Header"/>
        <w:numPr>
          <w:ilvl w:val="0"/>
          <w:numId w:val="8"/>
        </w:numPr>
        <w:tabs>
          <w:tab w:val="clear" w:pos="4320"/>
          <w:tab w:val="clear" w:pos="8640"/>
        </w:tabs>
        <w:rPr/>
      </w:pPr>
      <w:r>
        <w:rPr/>
        <w:t>Japanese economy and industries have been dependent on large trading houses like Mitsubishi, Sumitomo, Mitsui, Itoch-chu for several centuries; while together the top six trading companies account for about $500 Billion in annual revenues, their relative economic power base because of eroding margins is rapidly declining</w:t>
      </w:r>
    </w:p>
    <w:p>
      <w:pPr>
        <w:pStyle w:val="Header"/>
        <w:numPr>
          <w:ilvl w:val="0"/>
          <w:numId w:val="8"/>
        </w:numPr>
        <w:tabs>
          <w:tab w:val="clear" w:pos="4320"/>
          <w:tab w:val="clear" w:pos="8640"/>
        </w:tabs>
        <w:rPr/>
      </w:pPr>
      <w:r>
        <w:rPr/>
        <w:t>Trading practices in these companies are basically products of 19</w:t>
      </w:r>
      <w:r>
        <w:rPr>
          <w:vertAlign w:val="superscript"/>
        </w:rPr>
        <w:t>th</w:t>
      </w:r>
      <w:r>
        <w:rPr/>
        <w:t xml:space="preserve"> century paradigm of global intermediation between resource rich and resource deficit countries; they essentially beyond conventional trading do “first order” trade financing and international logistics</w:t>
      </w:r>
    </w:p>
    <w:p>
      <w:pPr>
        <w:pStyle w:val="Header"/>
        <w:numPr>
          <w:ilvl w:val="0"/>
          <w:numId w:val="8"/>
        </w:numPr>
        <w:tabs>
          <w:tab w:val="clear" w:pos="4320"/>
          <w:tab w:val="clear" w:pos="8640"/>
        </w:tabs>
        <w:rPr/>
      </w:pPr>
      <w:r>
        <w:rPr/>
        <w:t>While desire to modernize (in response to declining margins) is apparent, their size and internal politics do not allow them to switch to Enron-like 21</w:t>
      </w:r>
      <w:r>
        <w:rPr>
          <w:vertAlign w:val="superscript"/>
        </w:rPr>
        <w:t>st</w:t>
      </w:r>
      <w:r>
        <w:rPr/>
        <w:t xml:space="preserve"> century “service”/utility model including all kinds of hedging/ risk management mechanisms.</w:t>
      </w:r>
    </w:p>
    <w:p>
      <w:pPr>
        <w:pStyle w:val="Header"/>
        <w:tabs>
          <w:tab w:val="clear" w:pos="4320"/>
          <w:tab w:val="clear" w:pos="8640"/>
        </w:tabs>
        <w:rPr/>
      </w:pPr>
      <w:r>
        <w:rPr/>
      </w:r>
    </w:p>
    <w:p>
      <w:pPr>
        <w:pStyle w:val="Header"/>
        <w:tabs>
          <w:tab w:val="clear" w:pos="4320"/>
          <w:tab w:val="clear" w:pos="8640"/>
        </w:tabs>
        <w:rPr/>
      </w:pPr>
      <w:r>
        <w:rPr/>
        <w:t>As a result, it is indeed an opportune time for Enron to find a partner(s), preferably a high profile companies, “out-of –the-box” from traditional trading space, and yet enjoy enough economic stature and political clout to provide Enron a robust base (in terms of infrastructure, credibility and trust) to build on.  Likely industrial partners themselves are in the middle of difficult forces, which they need to deal with in identifying “out-of-the-box” strategic solutions.</w:t>
      </w:r>
    </w:p>
    <w:p>
      <w:pPr>
        <w:pStyle w:val="Header"/>
        <w:tabs>
          <w:tab w:val="clear" w:pos="4320"/>
          <w:tab w:val="clear" w:pos="8640"/>
        </w:tabs>
        <w:rPr/>
      </w:pPr>
      <w:r>
        <w:rPr/>
      </w:r>
    </w:p>
    <w:p>
      <w:pPr>
        <w:pStyle w:val="Header"/>
        <w:tabs>
          <w:tab w:val="clear" w:pos="4320"/>
          <w:tab w:val="clear" w:pos="8640"/>
        </w:tabs>
        <w:rPr>
          <w:b/>
          <w:bCs/>
        </w:rPr>
      </w:pPr>
      <w:r>
        <w:drawing>
          <wp:anchor behindDoc="0" distT="0" distB="0" distL="114935" distR="114935" simplePos="0" locked="0" layoutInCell="0" allowOverlap="1" relativeHeight="5">
            <wp:simplePos x="0" y="0"/>
            <wp:positionH relativeFrom="column">
              <wp:posOffset>0</wp:posOffset>
            </wp:positionH>
            <wp:positionV relativeFrom="paragraph">
              <wp:posOffset>175260</wp:posOffset>
            </wp:positionV>
            <wp:extent cx="5483225" cy="3970020"/>
            <wp:effectExtent l="0" t="0" r="0" b="0"/>
            <wp:wrapTopAndBottom/>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4"/>
                    <a:srcRect l="-6" t="-7" r="-6" b="-7"/>
                    <a:stretch>
                      <a:fillRect/>
                    </a:stretch>
                  </pic:blipFill>
                  <pic:spPr bwMode="auto">
                    <a:xfrm>
                      <a:off x="0" y="0"/>
                      <a:ext cx="5483225" cy="3970020"/>
                    </a:xfrm>
                    <a:prstGeom prst="rect">
                      <a:avLst/>
                    </a:prstGeom>
                    <a:noFill/>
                  </pic:spPr>
                </pic:pic>
              </a:graphicData>
            </a:graphic>
          </wp:anchor>
        </w:drawing>
      </w:r>
      <w:r>
        <w:rPr>
          <w:b/>
          <w:bCs/>
        </w:rPr>
        <w:t>Exhibit 1</w:t>
      </w:r>
    </w:p>
    <w:p>
      <w:pPr>
        <w:pStyle w:val="Header"/>
        <w:tabs>
          <w:tab w:val="clear" w:pos="4320"/>
          <w:tab w:val="clear" w:pos="8640"/>
        </w:tabs>
        <w:rPr>
          <w:b/>
          <w:bCs/>
        </w:rPr>
      </w:pPr>
      <w:r>
        <w:rPr>
          <w:b/>
          <w:bCs/>
        </w:rPr>
      </w:r>
    </w:p>
    <w:p>
      <w:pPr>
        <w:pStyle w:val="Header"/>
        <w:tabs>
          <w:tab w:val="clear" w:pos="4320"/>
          <w:tab w:val="clear" w:pos="8640"/>
        </w:tabs>
        <w:rPr>
          <w:b/>
          <w:bCs/>
        </w:rPr>
      </w:pPr>
      <w:r>
        <w:rPr>
          <w:b/>
          <w:bCs/>
        </w:rPr>
      </w:r>
    </w:p>
    <w:p>
      <w:pPr>
        <w:pStyle w:val="Header"/>
        <w:tabs>
          <w:tab w:val="clear" w:pos="4320"/>
          <w:tab w:val="clear" w:pos="8640"/>
        </w:tabs>
        <w:rPr/>
      </w:pPr>
      <w:r>
        <w:rPr/>
      </w:r>
    </w:p>
    <w:p>
      <w:pPr>
        <w:pStyle w:val="Heading2"/>
        <w:ind w:hanging="7470" w:start="0" w:end="0"/>
        <w:rPr/>
      </w:pPr>
      <w:r>
        <w:rPr/>
        <w:t>Backgroun</w:t>
      </w:r>
    </w:p>
    <w:p>
      <w:pPr>
        <w:pStyle w:val="Header"/>
        <w:tabs>
          <w:tab w:val="clear" w:pos="4320"/>
          <w:tab w:val="clear" w:pos="8640"/>
        </w:tabs>
        <w:rPr>
          <w:b/>
          <w:bCs/>
          <w:u w:val="single"/>
        </w:rPr>
      </w:pPr>
      <w:r>
        <w:rPr>
          <w:b/>
          <w:bCs/>
          <w:u w:val="single"/>
        </w:rPr>
        <w:t>3. Opportunities Ahead</w:t>
      </w:r>
    </w:p>
    <w:p>
      <w:pPr>
        <w:pStyle w:val="Header"/>
        <w:tabs>
          <w:tab w:val="clear" w:pos="4320"/>
          <w:tab w:val="clear" w:pos="8640"/>
        </w:tabs>
        <w:rPr>
          <w:b/>
          <w:bCs/>
          <w:u w:val="single"/>
        </w:rPr>
      </w:pPr>
      <w:r>
        <w:rPr>
          <w:b/>
          <w:bCs/>
          <w:u w:val="single"/>
        </w:rPr>
      </w:r>
    </w:p>
    <w:p>
      <w:pPr>
        <w:pStyle w:val="Header"/>
        <w:tabs>
          <w:tab w:val="clear" w:pos="4320"/>
          <w:tab w:val="clear" w:pos="8640"/>
        </w:tabs>
        <w:rPr/>
      </w:pPr>
      <w:r>
        <w:rPr/>
        <w:t xml:space="preserve">Our meetings with several Japanese institutions both Government (e.g. MITI) and Corporate (a range of companies such as Mitiubishi, Toyota, Nippon Steel etc) do indicate that Enron’s value proposition in the US &amp; European Industrial markets could be of significant interest to companies like Nippon Steel who are large, </w:t>
      </w:r>
      <w:r>
        <w:rPr>
          <w:i/>
          <w:iCs/>
        </w:rPr>
        <w:t>asset based</w:t>
      </w:r>
      <w:r>
        <w:rPr/>
        <w:t xml:space="preserve">, and are now looking for alternative strategic routes to move into </w:t>
      </w:r>
      <w:r>
        <w:rPr>
          <w:i/>
          <w:iCs/>
        </w:rPr>
        <w:t>knowledge based</w:t>
      </w:r>
      <w:r>
        <w:rPr/>
        <w:t xml:space="preserve"> industries.  Modernization of trading and physical logistics are clearly being viewed as opportunities, particularly as the “political and economic” will to transform the economy are on the rise.  </w:t>
      </w:r>
    </w:p>
    <w:p>
      <w:pPr>
        <w:pStyle w:val="Header"/>
        <w:tabs>
          <w:tab w:val="clear" w:pos="4320"/>
          <w:tab w:val="clear" w:pos="8640"/>
        </w:tabs>
        <w:rPr/>
      </w:pPr>
      <w:r>
        <w:rPr/>
      </w:r>
    </w:p>
    <w:p>
      <w:pPr>
        <w:pStyle w:val="Header"/>
        <w:tabs>
          <w:tab w:val="clear" w:pos="4320"/>
          <w:tab w:val="clear" w:pos="8640"/>
        </w:tabs>
        <w:rPr/>
      </w:pPr>
      <w:r>
        <w:rPr/>
        <w:t xml:space="preserve">Specific drivers of the emerging opportunities are: </w:t>
      </w:r>
    </w:p>
    <w:p>
      <w:pPr>
        <w:pStyle w:val="Header"/>
        <w:tabs>
          <w:tab w:val="clear" w:pos="4320"/>
          <w:tab w:val="clear" w:pos="8640"/>
        </w:tabs>
        <w:rPr/>
      </w:pPr>
      <w:r>
        <w:rPr/>
      </w:r>
    </w:p>
    <w:p>
      <w:pPr>
        <w:pStyle w:val="Header"/>
        <w:numPr>
          <w:ilvl w:val="0"/>
          <w:numId w:val="10"/>
        </w:numPr>
        <w:tabs>
          <w:tab w:val="clear" w:pos="4320"/>
          <w:tab w:val="clear" w:pos="8640"/>
        </w:tabs>
        <w:rPr/>
      </w:pPr>
      <w:r>
        <w:rPr/>
        <w:t>The size of the opportunity is significant as Japanese economy is “trading intensive”</w:t>
      </w:r>
    </w:p>
    <w:p>
      <w:pPr>
        <w:pStyle w:val="Header"/>
        <w:numPr>
          <w:ilvl w:val="0"/>
          <w:numId w:val="10"/>
        </w:numPr>
        <w:tabs>
          <w:tab w:val="clear" w:pos="4320"/>
          <w:tab w:val="clear" w:pos="8640"/>
        </w:tabs>
        <w:rPr/>
      </w:pPr>
      <w:r>
        <w:rPr/>
        <w:t>Significant inefficiencies in the current practices suggest a new approach with appropriate political and economic stature will be welcome</w:t>
      </w:r>
    </w:p>
    <w:p>
      <w:pPr>
        <w:pStyle w:val="Header"/>
        <w:numPr>
          <w:ilvl w:val="0"/>
          <w:numId w:val="10"/>
        </w:numPr>
        <w:tabs>
          <w:tab w:val="clear" w:pos="4320"/>
          <w:tab w:val="clear" w:pos="8640"/>
        </w:tabs>
        <w:rPr/>
      </w:pPr>
      <w:r>
        <w:rPr/>
        <w:t>The components (particularly hardware) for the digital build-out is available, in some ways ahead of US (e.g. m-commerce development by the wireless players like NTT DoCoMo)</w:t>
      </w:r>
    </w:p>
    <w:p>
      <w:pPr>
        <w:pStyle w:val="Header"/>
        <w:numPr>
          <w:ilvl w:val="0"/>
          <w:numId w:val="10"/>
        </w:numPr>
        <w:tabs>
          <w:tab w:val="clear" w:pos="4320"/>
          <w:tab w:val="clear" w:pos="8640"/>
        </w:tabs>
        <w:rPr/>
      </w:pPr>
      <w:r>
        <w:rPr/>
        <w:t>Enron enjoys a positive identity in Japan, which it must use as a strategic currency now</w:t>
      </w:r>
    </w:p>
    <w:p>
      <w:pPr>
        <w:pStyle w:val="Header"/>
        <w:tabs>
          <w:tab w:val="clear" w:pos="4320"/>
          <w:tab w:val="clear" w:pos="8640"/>
        </w:tabs>
        <w:rPr/>
      </w:pPr>
      <w:r>
        <w:rPr/>
      </w:r>
    </w:p>
    <w:p>
      <w:pPr>
        <w:pStyle w:val="Header"/>
        <w:tabs>
          <w:tab w:val="clear" w:pos="4320"/>
          <w:tab w:val="clear" w:pos="8640"/>
        </w:tabs>
        <w:rPr/>
      </w:pPr>
      <w:r>
        <w:rPr/>
        <w:t>In view of the above a large company like Nippon Steel (Exhibit 2), which have diversification interests will be of value to Enron; Enron could help them move into the digital economy in Asia Pacific, while gaining a sound strategic position in the region.</w:t>
      </w:r>
    </w:p>
    <w:p>
      <w:pPr>
        <w:pStyle w:val="Header"/>
        <w:tabs>
          <w:tab w:val="clear" w:pos="4320"/>
          <w:tab w:val="clear" w:pos="8640"/>
        </w:tabs>
        <w:rPr/>
      </w:pPr>
      <w:r>
        <w:rPr/>
      </w:r>
    </w:p>
    <w:p>
      <w:pPr>
        <w:pStyle w:val="Header"/>
        <w:tabs>
          <w:tab w:val="clear" w:pos="4320"/>
          <w:tab w:val="clear" w:pos="8640"/>
        </w:tabs>
        <w:rPr>
          <w:b/>
          <w:bCs/>
        </w:rPr>
      </w:pPr>
      <w:r>
        <w:rPr>
          <w:b/>
          <w:bCs/>
        </w:rPr>
        <w:t xml:space="preserve">Exhibit 2 </w:t>
      </w:r>
    </w:p>
    <w:p>
      <w:pPr>
        <w:pStyle w:val="Header"/>
        <w:tabs>
          <w:tab w:val="clear" w:pos="4320"/>
          <w:tab w:val="clear" w:pos="8640"/>
        </w:tabs>
        <w:rPr>
          <w:b/>
          <w:bCs/>
        </w:rPr>
      </w:pPr>
      <w:r>
        <w:rPr>
          <w:b/>
          <w:bCs/>
        </w:rPr>
        <w:drawing>
          <wp:anchor behindDoc="0" distT="0" distB="0" distL="114935" distR="114935" simplePos="0" locked="0" layoutInCell="0" allowOverlap="1" relativeHeight="6">
            <wp:simplePos x="0" y="0"/>
            <wp:positionH relativeFrom="column">
              <wp:posOffset>0</wp:posOffset>
            </wp:positionH>
            <wp:positionV relativeFrom="paragraph">
              <wp:posOffset>175260</wp:posOffset>
            </wp:positionV>
            <wp:extent cx="5715000" cy="3728085"/>
            <wp:effectExtent l="0" t="0" r="0" b="0"/>
            <wp:wrapTopAndBottom/>
            <wp:docPr id="4"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title=""/>
                    <pic:cNvPicPr>
                      <a:picLocks noChangeAspect="1" noChangeArrowheads="1"/>
                    </pic:cNvPicPr>
                  </pic:nvPicPr>
                  <pic:blipFill>
                    <a:blip r:embed="rId5"/>
                    <a:srcRect l="-4" t="-6" r="-4" b="-6"/>
                    <a:stretch>
                      <a:fillRect/>
                    </a:stretch>
                  </pic:blipFill>
                  <pic:spPr bwMode="auto">
                    <a:xfrm>
                      <a:off x="0" y="0"/>
                      <a:ext cx="5715000" cy="3728085"/>
                    </a:xfrm>
                    <a:prstGeom prst="rect">
                      <a:avLst/>
                    </a:prstGeom>
                    <a:noFill/>
                  </pic:spPr>
                </pic:pic>
              </a:graphicData>
            </a:graphic>
          </wp:anchor>
        </w:drawing>
      </w:r>
    </w:p>
    <w:p>
      <w:pPr>
        <w:pStyle w:val="Header"/>
        <w:tabs>
          <w:tab w:val="clear" w:pos="4320"/>
          <w:tab w:val="clear" w:pos="8640"/>
        </w:tabs>
        <w:rPr>
          <w:b/>
          <w:bCs/>
        </w:rPr>
      </w:pPr>
      <w:r>
        <w:rPr>
          <w:b/>
          <w:bCs/>
        </w:rPr>
      </w:r>
    </w:p>
    <w:p>
      <w:pPr>
        <w:pStyle w:val="Header"/>
        <w:numPr>
          <w:ilvl w:val="0"/>
          <w:numId w:val="9"/>
        </w:numPr>
        <w:tabs>
          <w:tab w:val="clear" w:pos="4320"/>
          <w:tab w:val="clear" w:pos="8640"/>
          <w:tab w:val="left" w:pos="360" w:leader="none"/>
        </w:tabs>
        <w:ind w:hanging="720" w:start="720" w:end="0"/>
        <w:rPr>
          <w:b/>
          <w:bCs/>
          <w:u w:val="single"/>
        </w:rPr>
      </w:pPr>
      <w:r>
        <w:rPr>
          <w:b/>
          <w:bCs/>
          <w:u w:val="single"/>
        </w:rPr>
        <w:t>Objectives of Enron-ADVENTIS Engagement</w:t>
      </w:r>
    </w:p>
    <w:p>
      <w:pPr>
        <w:pStyle w:val="Header"/>
        <w:tabs>
          <w:tab w:val="clear" w:pos="4320"/>
          <w:tab w:val="clear" w:pos="8640"/>
        </w:tabs>
        <w:rPr>
          <w:b/>
          <w:bCs/>
          <w:u w:val="single"/>
        </w:rPr>
      </w:pPr>
      <w:r>
        <w:rPr>
          <w:b/>
          <w:bCs/>
          <w:u w:val="single"/>
        </w:rPr>
      </w:r>
    </w:p>
    <w:p>
      <w:pPr>
        <w:pStyle w:val="Header"/>
        <w:tabs>
          <w:tab w:val="clear" w:pos="4320"/>
          <w:tab w:val="clear" w:pos="8640"/>
        </w:tabs>
        <w:rPr/>
      </w:pPr>
      <w:r>
        <w:rPr/>
        <w:t>In view of this backdrop a high-speed engagement with these specific objectives need to undertaken at the earliest.</w:t>
      </w:r>
    </w:p>
    <w:p>
      <w:pPr>
        <w:pStyle w:val="Header"/>
        <w:tabs>
          <w:tab w:val="clear" w:pos="4320"/>
          <w:tab w:val="clear" w:pos="8640"/>
        </w:tabs>
        <w:rPr>
          <w:b/>
          <w:bCs/>
          <w:u w:val="single"/>
        </w:rPr>
      </w:pPr>
      <w:r>
        <w:rPr>
          <w:b/>
          <w:bCs/>
          <w:u w:val="single"/>
        </w:rPr>
      </w:r>
    </w:p>
    <w:p>
      <w:pPr>
        <w:pStyle w:val="Header"/>
        <w:numPr>
          <w:ilvl w:val="0"/>
          <w:numId w:val="3"/>
        </w:numPr>
        <w:tabs>
          <w:tab w:val="clear" w:pos="4320"/>
          <w:tab w:val="clear" w:pos="8640"/>
        </w:tabs>
        <w:rPr>
          <w:b/>
          <w:bCs/>
          <w:u w:val="single"/>
        </w:rPr>
      </w:pPr>
      <w:r>
        <w:rPr/>
        <w:t>Assess the new paradigm trading possibilities from macro and micro economic, political, and regulatory perspectives</w:t>
      </w:r>
    </w:p>
    <w:p>
      <w:pPr>
        <w:pStyle w:val="Header"/>
        <w:numPr>
          <w:ilvl w:val="0"/>
          <w:numId w:val="3"/>
        </w:numPr>
        <w:tabs>
          <w:tab w:val="clear" w:pos="4320"/>
          <w:tab w:val="clear" w:pos="8640"/>
        </w:tabs>
        <w:rPr>
          <w:b/>
          <w:bCs/>
          <w:u w:val="single"/>
        </w:rPr>
      </w:pPr>
      <w:r>
        <w:rPr/>
        <w:t>Identify strategic alternatives Enron could pursue in aligning big players to cooperate with and support Enron</w:t>
      </w:r>
    </w:p>
    <w:p>
      <w:pPr>
        <w:pStyle w:val="Header"/>
        <w:numPr>
          <w:ilvl w:val="0"/>
          <w:numId w:val="3"/>
        </w:numPr>
        <w:tabs>
          <w:tab w:val="clear" w:pos="4320"/>
          <w:tab w:val="clear" w:pos="8640"/>
        </w:tabs>
        <w:rPr/>
      </w:pPr>
      <w:r>
        <w:rPr/>
        <w:t xml:space="preserve">Work out a long-term alliance/ JV relationship(s) with potential partners </w:t>
      </w:r>
      <w:r>
        <w:rPr>
          <w:i/>
          <w:iCs/>
        </w:rPr>
        <w:t>(e.g. Nippon Steel)</w:t>
      </w:r>
    </w:p>
    <w:p>
      <w:pPr>
        <w:pStyle w:val="Header"/>
        <w:tabs>
          <w:tab w:val="clear" w:pos="4320"/>
          <w:tab w:val="clear" w:pos="8640"/>
        </w:tabs>
        <w:rPr/>
      </w:pPr>
      <w:r>
        <w:rPr/>
      </w:r>
    </w:p>
    <w:p>
      <w:pPr>
        <w:pStyle w:val="Header"/>
        <w:numPr>
          <w:ilvl w:val="0"/>
          <w:numId w:val="9"/>
        </w:numPr>
        <w:tabs>
          <w:tab w:val="clear" w:pos="4320"/>
          <w:tab w:val="clear" w:pos="8640"/>
          <w:tab w:val="left" w:pos="360" w:leader="none"/>
        </w:tabs>
        <w:ind w:hanging="720" w:start="720" w:end="0"/>
        <w:rPr>
          <w:b/>
          <w:bCs/>
          <w:u w:val="single"/>
        </w:rPr>
      </w:pPr>
      <w:r>
        <w:rPr>
          <w:b/>
          <w:bCs/>
          <w:u w:val="single"/>
        </w:rPr>
        <w:t>Approach</w:t>
      </w:r>
    </w:p>
    <w:p>
      <w:pPr>
        <w:pStyle w:val="Header"/>
        <w:tabs>
          <w:tab w:val="clear" w:pos="4320"/>
          <w:tab w:val="clear" w:pos="8640"/>
        </w:tabs>
        <w:rPr>
          <w:b/>
          <w:bCs/>
          <w:u w:val="single"/>
        </w:rPr>
      </w:pPr>
      <w:r>
        <w:rPr>
          <w:b/>
          <w:bCs/>
          <w:u w:val="single"/>
        </w:rPr>
      </w:r>
    </w:p>
    <w:p>
      <w:pPr>
        <w:pStyle w:val="Header"/>
        <w:tabs>
          <w:tab w:val="clear" w:pos="4320"/>
          <w:tab w:val="clear" w:pos="8640"/>
        </w:tabs>
        <w:rPr/>
      </w:pPr>
      <w:r>
        <w:rPr/>
        <w:t xml:space="preserve">A joint Enron-Adventis team could work together in </w:t>
      </w:r>
      <w:r>
        <w:rPr>
          <w:i/>
          <w:iCs/>
          <w:u w:val="single"/>
        </w:rPr>
        <w:t>three phases</w:t>
      </w:r>
      <w:r>
        <w:rPr/>
        <w:t>:</w:t>
      </w:r>
    </w:p>
    <w:p>
      <w:pPr>
        <w:pStyle w:val="Header"/>
        <w:tabs>
          <w:tab w:val="clear" w:pos="4320"/>
          <w:tab w:val="clear" w:pos="8640"/>
        </w:tabs>
        <w:rPr/>
      </w:pPr>
      <w:r>
        <w:rPr/>
      </w:r>
    </w:p>
    <w:p>
      <w:pPr>
        <w:pStyle w:val="Header"/>
        <w:numPr>
          <w:ilvl w:val="0"/>
          <w:numId w:val="4"/>
        </w:numPr>
        <w:tabs>
          <w:tab w:val="clear" w:pos="4320"/>
          <w:tab w:val="clear" w:pos="8640"/>
        </w:tabs>
        <w:rPr>
          <w:b/>
          <w:bCs/>
          <w:u w:val="single"/>
        </w:rPr>
      </w:pPr>
      <w:r>
        <w:rPr>
          <w:i/>
          <w:iCs/>
          <w:u w:val="single"/>
        </w:rPr>
        <w:t>Phase 1 (6 weeks):</w:t>
      </w:r>
      <w:r>
        <w:rPr/>
        <w:t xml:space="preserve"> Build a comprehensive perspective on trading opportunities (financial engineering) in Japan / Asia Pacific, leading to summit meeting(s) with the likely partners; phase 1 work will essentially serve objective 1.</w:t>
      </w:r>
    </w:p>
    <w:p>
      <w:pPr>
        <w:pStyle w:val="Header"/>
        <w:tabs>
          <w:tab w:val="clear" w:pos="4320"/>
          <w:tab w:val="clear" w:pos="8640"/>
        </w:tabs>
        <w:rPr>
          <w:b/>
          <w:bCs/>
          <w:u w:val="single"/>
        </w:rPr>
      </w:pPr>
      <w:r>
        <w:rPr>
          <w:b/>
          <w:bCs/>
          <w:u w:val="single"/>
        </w:rPr>
      </w:r>
    </w:p>
    <w:p>
      <w:pPr>
        <w:pStyle w:val="Header"/>
        <w:numPr>
          <w:ilvl w:val="0"/>
          <w:numId w:val="4"/>
        </w:numPr>
        <w:tabs>
          <w:tab w:val="clear" w:pos="4320"/>
          <w:tab w:val="clear" w:pos="8640"/>
        </w:tabs>
        <w:rPr>
          <w:b/>
          <w:bCs/>
          <w:u w:val="single"/>
        </w:rPr>
      </w:pPr>
      <w:r>
        <w:rPr>
          <w:i/>
          <w:iCs/>
          <w:u w:val="single"/>
        </w:rPr>
        <w:t>Phase 2 (4 weeks):</w:t>
      </w:r>
      <w:r>
        <w:rPr/>
        <w:t xml:space="preserve"> Profile alternative strategies for substantial market entry with different types of partners with alternative alliance architecture</w:t>
      </w:r>
    </w:p>
    <w:p>
      <w:pPr>
        <w:pStyle w:val="Header"/>
        <w:tabs>
          <w:tab w:val="clear" w:pos="4320"/>
          <w:tab w:val="clear" w:pos="8640"/>
        </w:tabs>
        <w:rPr>
          <w:b/>
          <w:bCs/>
          <w:u w:val="single"/>
        </w:rPr>
      </w:pPr>
      <w:r>
        <w:rPr>
          <w:b/>
          <w:bCs/>
          <w:u w:val="single"/>
        </w:rPr>
      </w:r>
    </w:p>
    <w:p>
      <w:pPr>
        <w:pStyle w:val="Header"/>
        <w:numPr>
          <w:ilvl w:val="0"/>
          <w:numId w:val="4"/>
        </w:numPr>
        <w:tabs>
          <w:tab w:val="clear" w:pos="4320"/>
          <w:tab w:val="clear" w:pos="8640"/>
        </w:tabs>
        <w:rPr>
          <w:b/>
          <w:bCs/>
          <w:u w:val="single"/>
        </w:rPr>
      </w:pPr>
      <w:r>
        <w:rPr>
          <w:i/>
          <w:iCs/>
          <w:u w:val="single"/>
        </w:rPr>
        <w:t>Phase 3 (2 weeks):</w:t>
      </w:r>
      <w:r>
        <w:rPr/>
        <w:t xml:space="preserve"> Begin dialogue with likely partners to create several complimentary JVs</w:t>
      </w:r>
    </w:p>
    <w:p>
      <w:pPr>
        <w:pStyle w:val="Header"/>
        <w:tabs>
          <w:tab w:val="clear" w:pos="4320"/>
          <w:tab w:val="clear" w:pos="8640"/>
        </w:tabs>
        <w:rPr>
          <w:b/>
          <w:bCs/>
          <w:u w:val="single"/>
        </w:rPr>
      </w:pPr>
      <w:r>
        <w:rPr>
          <w:b/>
          <w:bCs/>
          <w:u w:val="single"/>
        </w:rPr>
      </w:r>
    </w:p>
    <w:p>
      <w:pPr>
        <w:pStyle w:val="Normal"/>
        <w:rPr/>
      </w:pPr>
      <w:r>
        <w:rPr/>
        <w:t xml:space="preserve">During Phase 1 the proposed engagement will essentially validate the scope and size of the opportunity, in turn define alternative roles could play in modernizing Japanese trading practices.  Exhibit 3 describes the key activities that will need to be undertaken during the Phase </w:t>
      </w:r>
    </w:p>
    <w:p>
      <w:pPr>
        <w:pStyle w:val="Normal"/>
        <w:rPr/>
      </w:pPr>
      <w:r>
        <w:rPr/>
      </w:r>
    </w:p>
    <w:p>
      <w:pPr>
        <w:pStyle w:val="Normal"/>
        <w:rPr/>
      </w:pPr>
      <w:r>
        <w:rPr>
          <w:b/>
          <w:bCs/>
        </w:rPr>
        <w:t>Exhibit 3</w:t>
      </w:r>
      <w:r>
        <w:rPr/>
        <w:t xml:space="preserve">: </w:t>
      </w:r>
      <w:r>
        <w:rPr>
          <w:b/>
          <w:bCs/>
        </w:rPr>
        <w:t>Key activities for Phase 1 engagement.</w:t>
      </w:r>
    </w:p>
    <w:p>
      <w:pPr>
        <w:pStyle w:val="Header"/>
        <w:tabs>
          <w:tab w:val="clear" w:pos="4320"/>
          <w:tab w:val="clear" w:pos="8640"/>
        </w:tabs>
        <w:rPr>
          <w:b/>
          <w:bCs/>
          <w:u w:val="single"/>
        </w:rPr>
      </w:pPr>
      <w:r>
        <w:rPr>
          <w:b/>
          <w:bCs/>
          <w:u w:val="single"/>
        </w:rPr>
      </w:r>
    </w:p>
    <w:p>
      <w:pPr>
        <w:pStyle w:val="Header"/>
        <w:tabs>
          <w:tab w:val="clear" w:pos="4320"/>
          <w:tab w:val="clear" w:pos="8640"/>
        </w:tabs>
        <w:rPr>
          <w:b/>
          <w:bCs/>
          <w:u w:val="single"/>
        </w:rPr>
      </w:pPr>
      <w:r>
        <w:rPr>
          <w:b/>
          <w:bCs/>
          <w:u w:val="single"/>
        </w:rPr>
        <w:drawing>
          <wp:anchor behindDoc="0" distT="0" distB="0" distL="114935" distR="114935" simplePos="0" locked="0" layoutInCell="0" allowOverlap="1" relativeHeight="7">
            <wp:simplePos x="0" y="0"/>
            <wp:positionH relativeFrom="column">
              <wp:posOffset>0</wp:posOffset>
            </wp:positionH>
            <wp:positionV relativeFrom="paragraph">
              <wp:posOffset>635</wp:posOffset>
            </wp:positionV>
            <wp:extent cx="5482590" cy="3168650"/>
            <wp:effectExtent l="0" t="0" r="0" b="0"/>
            <wp:wrapTopAndBottom/>
            <wp:docPr id="5"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descr="" title=""/>
                    <pic:cNvPicPr>
                      <a:picLocks noChangeAspect="1" noChangeArrowheads="1"/>
                    </pic:cNvPicPr>
                  </pic:nvPicPr>
                  <pic:blipFill>
                    <a:blip r:embed="rId6"/>
                    <a:srcRect l="-4" t="-7" r="-4" b="-7"/>
                    <a:stretch>
                      <a:fillRect/>
                    </a:stretch>
                  </pic:blipFill>
                  <pic:spPr bwMode="auto">
                    <a:xfrm>
                      <a:off x="0" y="0"/>
                      <a:ext cx="5482590" cy="3168650"/>
                    </a:xfrm>
                    <a:prstGeom prst="rect">
                      <a:avLst/>
                    </a:prstGeom>
                    <a:noFill/>
                  </pic:spPr>
                </pic:pic>
              </a:graphicData>
            </a:graphic>
          </wp:anchor>
        </w:drawing>
      </w:r>
    </w:p>
    <w:p>
      <w:pPr>
        <w:pStyle w:val="Header"/>
        <w:tabs>
          <w:tab w:val="clear" w:pos="4320"/>
          <w:tab w:val="clear" w:pos="8640"/>
        </w:tabs>
        <w:rPr>
          <w:b/>
          <w:bCs/>
          <w:u w:val="single"/>
        </w:rPr>
      </w:pPr>
      <w:r>
        <w:rPr>
          <w:b/>
          <w:bCs/>
          <w:u w:val="single"/>
        </w:rPr>
      </w:r>
    </w:p>
    <w:p>
      <w:pPr>
        <w:pStyle w:val="Header"/>
        <w:numPr>
          <w:ilvl w:val="0"/>
          <w:numId w:val="9"/>
        </w:numPr>
        <w:tabs>
          <w:tab w:val="clear" w:pos="4320"/>
          <w:tab w:val="clear" w:pos="8640"/>
          <w:tab w:val="left" w:pos="360" w:leader="none"/>
        </w:tabs>
        <w:ind w:hanging="720" w:start="720" w:end="0"/>
        <w:rPr>
          <w:b/>
          <w:bCs/>
          <w:u w:val="single"/>
        </w:rPr>
      </w:pPr>
      <w:r>
        <w:rPr>
          <w:b/>
          <w:bCs/>
          <w:u w:val="single"/>
        </w:rPr>
        <w:t>Working Arrangement</w:t>
      </w:r>
    </w:p>
    <w:p>
      <w:pPr>
        <w:pStyle w:val="Header"/>
        <w:tabs>
          <w:tab w:val="clear" w:pos="4320"/>
          <w:tab w:val="clear" w:pos="8640"/>
        </w:tabs>
        <w:rPr>
          <w:b/>
          <w:bCs/>
          <w:u w:val="single"/>
        </w:rPr>
      </w:pPr>
      <w:r>
        <w:rPr>
          <w:b/>
          <w:bCs/>
          <w:u w:val="single"/>
        </w:rPr>
      </w:r>
    </w:p>
    <w:p>
      <w:pPr>
        <w:pStyle w:val="Header"/>
        <w:tabs>
          <w:tab w:val="clear" w:pos="4320"/>
          <w:tab w:val="clear" w:pos="8640"/>
        </w:tabs>
        <w:rPr/>
      </w:pPr>
      <w:r>
        <w:rPr/>
        <w:t xml:space="preserve">A Japan / Asia Pacific Steering Committee from Enron should lead this initiative.  Adventis under the leadership of Partha S. Ghosh will assign three to four consultants to undertake this strategic exercise.  Given its significant value to Enron and sensitivities associated with it, the exercise should be carried out in a </w:t>
      </w:r>
      <w:r>
        <w:rPr>
          <w:u w:val="single"/>
        </w:rPr>
        <w:t>confidential fashion</w:t>
      </w:r>
      <w:r>
        <w:rPr/>
        <w:t xml:space="preserve"> e.g. Enron name should not be public until the exercise validates the viability of the proposed opportunity.</w:t>
      </w:r>
    </w:p>
    <w:p>
      <w:pPr>
        <w:pStyle w:val="Header"/>
        <w:tabs>
          <w:tab w:val="clear" w:pos="4320"/>
          <w:tab w:val="clear" w:pos="8640"/>
        </w:tabs>
        <w:rPr/>
      </w:pPr>
      <w:r>
        <w:rPr/>
      </w:r>
    </w:p>
    <w:p>
      <w:pPr>
        <w:pStyle w:val="Header"/>
        <w:tabs>
          <w:tab w:val="clear" w:pos="4320"/>
          <w:tab w:val="clear" w:pos="8640"/>
        </w:tabs>
        <w:rPr/>
      </w:pPr>
      <w:r>
        <w:rPr/>
        <w:t>Our professional fees for Phase 1 activity will be about $65,000/week.  In addition we will expect Enron to suggest a formula for contingency fees.  The out-of-pocket expenses (given the international nature of the undertaking) will be about 20% of the professional fees.</w:t>
      </w:r>
    </w:p>
    <w:p>
      <w:pPr>
        <w:pStyle w:val="Header"/>
        <w:tabs>
          <w:tab w:val="clear" w:pos="4320"/>
          <w:tab w:val="clear" w:pos="8640"/>
        </w:tabs>
        <w:rPr/>
      </w:pPr>
      <w:r>
        <w:rPr/>
      </w:r>
    </w:p>
    <w:p>
      <w:pPr>
        <w:pStyle w:val="Header"/>
        <w:tabs>
          <w:tab w:val="clear" w:pos="4320"/>
          <w:tab w:val="clear" w:pos="8640"/>
        </w:tabs>
        <w:rPr/>
      </w:pPr>
      <w:r>
        <w:rPr/>
        <w:t>If at any point during the course of the engagement the exercise is considered of limited value to Enron it could be discontinued with 2 weeks of advanced alert.</w:t>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jc w:val="center"/>
        <w:rPr>
          <w:sz w:val="40"/>
        </w:rPr>
      </w:pPr>
      <w:r>
        <w:rPr>
          <w:sz w:val="40"/>
        </w:rPr>
        <w:t>*          *          *</w:t>
      </w:r>
    </w:p>
    <w:p>
      <w:pPr>
        <w:pStyle w:val="Header"/>
        <w:tabs>
          <w:tab w:val="clear" w:pos="4320"/>
          <w:tab w:val="clear" w:pos="8640"/>
        </w:tabs>
        <w:jc w:val="center"/>
        <w:rPr>
          <w:sz w:val="40"/>
        </w:rPr>
      </w:pPr>
      <w:r>
        <w:rPr>
          <w:sz w:val="40"/>
        </w:rPr>
      </w:r>
    </w:p>
    <w:p>
      <w:pPr>
        <w:pStyle w:val="Header"/>
        <w:tabs>
          <w:tab w:val="clear" w:pos="4320"/>
          <w:tab w:val="clear" w:pos="8640"/>
        </w:tabs>
        <w:rPr/>
      </w:pPr>
      <w:r>
        <w:rPr/>
        <w:t>We do believe Enron could aggressively pursue “new paradigm” trading opportunities in partnership with “high structure” but out-of-the “conventional trading” box companies like Nippon Steel.  We welcome the opportunity to partner with Enron in realizing the proposed “high impact” strategic opportunity.</w:t>
      </w:r>
    </w:p>
    <w:p>
      <w:pPr>
        <w:pStyle w:val="BodyTextIndent"/>
        <w:ind w:start="0" w:end="0"/>
        <w:rPr/>
      </w:pPr>
      <w:r>
        <w:rPr/>
      </w:r>
    </w:p>
    <w:p>
      <w:pPr>
        <w:pStyle w:val="BodyTextIndent"/>
        <w:ind w:start="0" w:end="0"/>
        <w:rPr/>
      </w:pPr>
      <w:r>
        <w:rPr/>
        <w:t>Respectfully yours,</w:t>
      </w:r>
    </w:p>
    <w:p>
      <w:pPr>
        <w:pStyle w:val="Normal"/>
        <w:rPr/>
      </w:pPr>
      <w:r>
        <w:rPr/>
      </w:r>
    </w:p>
    <w:p>
      <w:pPr>
        <w:pStyle w:val="Normal"/>
        <w:rPr/>
      </w:pPr>
      <w:r>
        <w:rPr/>
        <w:drawing>
          <wp:inline distT="0" distB="0" distL="0" distR="0">
            <wp:extent cx="1827530" cy="570230"/>
            <wp:effectExtent l="0" t="0" r="0" b="0"/>
            <wp:docPr id="6" name="PGhosh"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Ghosh" descr="" title=""/>
                    <pic:cNvPicPr>
                      <a:picLocks noChangeAspect="1" noChangeArrowheads="1"/>
                    </pic:cNvPicPr>
                  </pic:nvPicPr>
                  <pic:blipFill>
                    <a:blip r:embed="rId7"/>
                    <a:srcRect l="-8" t="-16" r="-8" b="-16"/>
                    <a:stretch>
                      <a:fillRect/>
                    </a:stretch>
                  </pic:blipFill>
                  <pic:spPr bwMode="auto">
                    <a:xfrm>
                      <a:off x="0" y="0"/>
                      <a:ext cx="1827530" cy="570230"/>
                    </a:xfrm>
                    <a:prstGeom prst="rect">
                      <a:avLst/>
                    </a:prstGeom>
                    <a:noFill/>
                  </pic:spPr>
                </pic:pic>
              </a:graphicData>
            </a:graphic>
          </wp:inline>
        </w:drawing>
      </w:r>
    </w:p>
    <w:p>
      <w:pPr>
        <w:pStyle w:val="Normal"/>
        <w:rPr/>
      </w:pPr>
      <w:r>
        <w:rPr/>
      </w:r>
    </w:p>
    <w:p>
      <w:pPr>
        <w:pStyle w:val="Normal"/>
        <w:rPr/>
      </w:pPr>
      <w:r>
        <w:rPr/>
        <w:t>Partha S. Ghosh</w:t>
      </w:r>
    </w:p>
    <w:p>
      <w:pPr>
        <w:pStyle w:val="Normal"/>
        <w:rPr/>
      </w:pPr>
      <w:r>
        <w:rPr/>
      </w:r>
    </w:p>
    <w:p>
      <w:pPr>
        <w:pStyle w:val="Normal"/>
        <w:rPr/>
      </w:pPr>
      <w:r>
        <w:rPr/>
      </w:r>
    </w:p>
    <w:p>
      <w:pPr>
        <w:pStyle w:val="Normal"/>
        <w:rPr/>
      </w:pPr>
      <w:r>
        <w:rPr/>
        <w:t xml:space="preserve">CC: </w:t>
        <w:tab/>
        <w:t>Mr. Jeff Skilling</w:t>
      </w:r>
    </w:p>
    <w:p>
      <w:pPr>
        <w:pStyle w:val="Normal"/>
        <w:rPr/>
      </w:pPr>
      <w:r>
        <w:rPr/>
        <w:tab/>
        <w:t>CEO &amp; President</w:t>
      </w:r>
    </w:p>
    <w:p>
      <w:pPr>
        <w:pStyle w:val="Normal"/>
        <w:rPr/>
      </w:pPr>
      <w:r>
        <w:rPr/>
        <w:tab/>
        <w:t>Enron Corporation</w:t>
      </w:r>
    </w:p>
    <w:p>
      <w:pPr>
        <w:pStyle w:val="Normal"/>
        <w:rPr/>
      </w:pPr>
      <w:r>
        <w:rPr/>
      </w:r>
    </w:p>
    <w:p>
      <w:pPr>
        <w:pStyle w:val="Normal"/>
        <w:rPr/>
      </w:pPr>
      <w:r>
        <w:rPr/>
      </w:r>
    </w:p>
    <w:p>
      <w:pPr>
        <w:pStyle w:val="Normal"/>
        <w:rPr/>
      </w:pPr>
      <w:r>
        <w:rPr/>
      </w:r>
    </w:p>
    <w:p>
      <w:pPr>
        <w:pStyle w:val="Normal"/>
        <w:rPr/>
      </w:pPr>
      <w:r>
        <w:rPr/>
      </w:r>
    </w:p>
    <w:p>
      <w:pPr>
        <w:pStyle w:val="Header"/>
        <w:tabs>
          <w:tab w:val="clear" w:pos="4320"/>
          <w:tab w:val="clear" w:pos="8640"/>
        </w:tabs>
        <w:rPr/>
      </w:pPr>
      <w:r>
        <w:rPr/>
        <w:tab/>
      </w:r>
    </w:p>
    <w:p>
      <w:pPr>
        <w:pStyle w:val="Normal"/>
        <w:spacing w:lineRule="auto" w:line="480"/>
        <w:rPr/>
      </w:pPr>
      <w:r>
        <w:rPr/>
        <w:t xml:space="preserve">       </w:t>
      </w:r>
      <w:r>
        <w:rPr/>
        <w:tab/>
      </w:r>
    </w:p>
    <w:p>
      <w:pPr>
        <w:pStyle w:val="Normal"/>
        <w:spacing w:lineRule="auto" w:line="480"/>
        <w:rPr/>
      </w:pPr>
      <w:r>
        <w:rPr/>
        <w:t>PSG/mms</w:t>
      </w:r>
    </w:p>
    <w:sectPr>
      <w:headerReference w:type="default" r:id="rId8"/>
      <w:headerReference w:type="first" r:id="rId9"/>
      <w:type w:val="nextPage"/>
      <w:pgSz w:w="12240" w:h="15840"/>
      <w:pgMar w:left="1260" w:right="1800" w:gutter="0" w:header="720" w:top="198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firstLine="360" w:end="0"/>
      <w:rPr/>
    </w:pPr>
    <w:r>
      <w:rPr/>
      <w:tab/>
    </w:r>
    <w:r>
      <mc:AlternateContent>
        <mc:Choice Requires="wps">
          <w:drawing>
            <wp:anchor behindDoc="0" distT="0" distB="0" distL="0" distR="0" simplePos="0" locked="0" layoutInCell="0" allowOverlap="1" relativeHeight="13">
              <wp:simplePos x="0" y="0"/>
              <wp:positionH relativeFrom="margin">
                <wp:align>left</wp:align>
              </wp:positionH>
              <wp:positionV relativeFrom="paragraph">
                <wp:posOffset>635</wp:posOffset>
              </wp:positionV>
              <wp:extent cx="448945" cy="229235"/>
              <wp:effectExtent l="0" t="0" r="0" b="0"/>
              <wp:wrapSquare wrapText="bothSides"/>
              <wp:docPr id="7" name="Frame1"/>
              <a:graphic xmlns:a="http://schemas.openxmlformats.org/drawingml/2006/main">
                <a:graphicData uri="http://schemas.microsoft.com/office/word/2010/wordprocessingShape">
                  <wps:wsp>
                    <wps:cNvSpPr txBox="1"/>
                    <wps:spPr>
                      <a:xfrm>
                        <a:off x="0" y="0"/>
                        <a:ext cx="448945" cy="229235"/>
                      </a:xfrm>
                      <a:prstGeom prst="rect"/>
                      <a:solidFill>
                        <a:srgbClr val="FFFFFF">
                          <a:alpha val="0"/>
                        </a:srgbClr>
                      </a:solidFill>
                    </wps:spPr>
                    <wps:txbx>
                      <w:txbxContent>
                        <w:p>
                          <w:pPr>
                            <w:pStyle w:val="Head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Pr>
                            <w:t xml:space="preserve"> </w:t>
                          </w:r>
                        </w:p>
                      </w:txbxContent>
                    </wps:txbx>
                    <wps:bodyPr anchor="t" lIns="0" tIns="0" rIns="0" bIns="0">
                      <a:noAutofit/>
                    </wps:bodyPr>
                  </wps:wsp>
                </a:graphicData>
              </a:graphic>
            </wp:anchor>
          </w:drawing>
        </mc:Choice>
        <mc:Fallback>
          <w:pict>
            <v:rect fillcolor="#FFFFFF" style="position:absolute;rotation:-0;width:35.35pt;height:18.05pt;mso-wrap-distance-left:0pt;mso-wrap-distance-right:0pt;mso-wrap-distance-top:0pt;mso-wrap-distance-bottom:0pt;margin-top:0.05pt;mso-position-vertical-relative:text;margin-left:0pt;mso-position-horizontal:left;mso-position-horizontal-relative:margin">
              <v:fill opacity="0f"/>
              <v:textbox inset="0in,0in,0in,0in">
                <w:txbxContent>
                  <w:p>
                    <w:pPr>
                      <w:pStyle w:val="Head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Pr>
                      <w:t xml:space="preserve"> </w:t>
                    </w:r>
                  </w:p>
                </w:txbxContent>
              </v:textbox>
              <w10:wrap type="square"/>
            </v:rect>
          </w:pict>
        </mc:Fallback>
      </mc:AlternateContent>
    </w:r>
  </w:p>
  <w:p>
    <w:pPr>
      <w:pStyle w:val="Header"/>
      <w:rPr/>
    </w:pPr>
    <w:r>
      <w:rPr/>
      <w:t>Jeffrey McMahom</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decimal"/>
      <w:lvlText w:val="%1."/>
      <w:lvlJc w:val="start"/>
      <w:pPr>
        <w:tabs>
          <w:tab w:val="num" w:pos="720"/>
        </w:tabs>
        <w:ind w:start="720" w:hanging="360"/>
      </w:pPr>
    </w:lvl>
  </w:abstractNum>
  <w:abstractNum w:abstractNumId="7">
    <w:lvl w:ilvl="0">
      <w:numFmt w:val="bullet"/>
      <w:lvlText w:val="-"/>
      <w:lvlJc w:val="start"/>
      <w:pPr>
        <w:tabs>
          <w:tab w:val="num" w:pos="720"/>
        </w:tabs>
        <w:ind w:start="720" w:hanging="360"/>
      </w:pPr>
      <w:rPr>
        <w:rFonts w:ascii="Times New Roman" w:hAnsi="Times New Roman" w:cs="Times New Roman"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4"/>
      <w:numFmt w:val="decimal"/>
      <w:lvlText w:val="%1."/>
      <w:lvlJc w:val="start"/>
      <w:pPr>
        <w:tabs>
          <w:tab w:val="num" w:pos="720"/>
        </w:tabs>
        <w:ind w:start="720" w:hanging="360"/>
      </w:pPr>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i/>
      <w:iCs/>
      <w:sz w:val="20"/>
    </w:rPr>
  </w:style>
  <w:style w:type="paragraph" w:styleId="Heading2">
    <w:name w:val="heading 2"/>
    <w:basedOn w:val="Normal"/>
    <w:next w:val="Normal"/>
    <w:qFormat/>
    <w:pPr>
      <w:keepNext w:val="true"/>
      <w:numPr>
        <w:ilvl w:val="1"/>
        <w:numId w:val="1"/>
      </w:numPr>
      <w:outlineLvl w:val="1"/>
    </w:pPr>
    <w:rPr>
      <w:b/>
      <w:bCs/>
      <w:sz w:val="20"/>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val="true"/>
      <w:numPr>
        <w:ilvl w:val="3"/>
        <w:numId w:val="1"/>
      </w:numPr>
      <w:outlineLvl w:val="3"/>
    </w:pPr>
    <w:rPr>
      <w:b/>
      <w:bCs/>
      <w:u w:val="single"/>
    </w:rPr>
  </w:style>
  <w:style w:type="paragraph" w:styleId="Heading5">
    <w:name w:val="heading 5"/>
    <w:basedOn w:val="Normal"/>
    <w:next w:val="Normal"/>
    <w:qFormat/>
    <w:pPr>
      <w:keepNext w:val="true"/>
      <w:numPr>
        <w:ilvl w:val="4"/>
        <w:numId w:val="1"/>
      </w:numPr>
      <w:outlineLvl w:val="4"/>
    </w:pPr>
    <w:rPr>
      <w:b/>
      <w:bCs/>
      <w:i/>
      <w:iCs/>
    </w:rPr>
  </w:style>
  <w:style w:type="paragraph" w:styleId="Heading6">
    <w:name w:val="heading 6"/>
    <w:basedOn w:val="Normal"/>
    <w:next w:val="Normal"/>
    <w:qFormat/>
    <w:pPr>
      <w:keepNext w:val="true"/>
      <w:numPr>
        <w:ilvl w:val="5"/>
        <w:numId w:val="1"/>
      </w:numPr>
      <w:jc w:val="center"/>
      <w:outlineLvl w:val="5"/>
    </w:pPr>
    <w:rPr>
      <w:b/>
      <w:bCs/>
    </w:rPr>
  </w:style>
  <w:style w:type="paragraph" w:styleId="Heading7">
    <w:name w:val="heading 7"/>
    <w:basedOn w:val="Normal"/>
    <w:next w:val="Normal"/>
    <w:qFormat/>
    <w:pPr>
      <w:keepNext w:val="true"/>
      <w:numPr>
        <w:ilvl w:val="6"/>
        <w:numId w:val="1"/>
      </w:numPr>
      <w:jc w:val="center"/>
      <w:outlineLvl w:val="6"/>
    </w:pPr>
    <w:rPr>
      <w:b/>
      <w:bCs/>
      <w:u w:val="single"/>
    </w:rPr>
  </w:style>
  <w:style w:type="paragraph" w:styleId="Heading8">
    <w:name w:val="heading 8"/>
    <w:basedOn w:val="Normal"/>
    <w:next w:val="Normal"/>
    <w:qFormat/>
    <w:pPr>
      <w:keepNext w:val="true"/>
      <w:numPr>
        <w:ilvl w:val="7"/>
        <w:numId w:val="1"/>
      </w:numPr>
      <w:ind w:firstLine="720" w:start="2880" w:end="0"/>
      <w:outlineLvl w:val="7"/>
    </w:pPr>
    <w:rPr>
      <w:b/>
      <w:bCs/>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Times New Roman" w:hAnsi="Times New Roman" w:cs="Times New Roman"/>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eastAsia="Times New Roman" w:cs="Times New Roman"/>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Times New Roman" w:hAnsi="Times New Roman" w:cs="Times New Roman"/>
    </w:rPr>
  </w:style>
  <w:style w:type="character" w:styleId="WW8Num13z2">
    <w:name w:val="WW8Num13z2"/>
    <w:qFormat/>
    <w:rPr>
      <w:rFonts w:ascii="Wingdings" w:hAnsi="Wingdings" w:cs="Wingdings"/>
    </w:rPr>
  </w:style>
  <w:style w:type="character" w:styleId="WW8Num13z3">
    <w:name w:val="WW8Num13z3"/>
    <w:qFormat/>
    <w:rPr>
      <w:rFonts w:ascii="Symbol" w:hAnsi="Symbol" w:cs="Symbol"/>
    </w:rPr>
  </w:style>
  <w:style w:type="character" w:styleId="WW8Num13z4">
    <w:name w:val="WW8Num13z4"/>
    <w:qFormat/>
    <w:rPr>
      <w:rFonts w:ascii="Courier New" w:hAnsi="Courier New" w:cs="Courier New"/>
    </w:rPr>
  </w:style>
  <w:style w:type="character" w:styleId="WW8Num16z0">
    <w:name w:val="WW8Num16z0"/>
    <w:qFormat/>
    <w:rPr>
      <w:rFonts w:ascii="Times New Roman" w:hAnsi="Times New Roman" w:cs="Times New Roman"/>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style>
  <w:style w:type="character" w:styleId="WW8Num25z1">
    <w:name w:val="WW8Num25z1"/>
    <w:qFormat/>
    <w:rPr>
      <w:rFonts w:ascii="Symbol" w:hAnsi="Symbol" w:cs="Symbol"/>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7z0">
    <w:name w:val="WW8Num27z0"/>
    <w:qFormat/>
    <w:rPr>
      <w:rFonts w:ascii="Symbol" w:hAnsi="Symbol" w:cs="Symbol"/>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8z0">
    <w:name w:val="WW8Num28z0"/>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0z0">
    <w:name w:val="WW8Num30z0"/>
    <w:qFormat/>
    <w:rPr>
      <w:rFonts w:ascii="Times New Roman" w:hAnsi="Times New Roman" w:cs="Times New Roman"/>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0z3">
    <w:name w:val="WW8Num30z3"/>
    <w:qFormat/>
    <w:rPr>
      <w:rFonts w:ascii="Symbol" w:hAnsi="Symbol" w:cs="Symbol"/>
    </w:rPr>
  </w:style>
  <w:style w:type="character" w:styleId="WW8Num31z0">
    <w:name w:val="WW8Num31z0"/>
    <w:qFormat/>
    <w:rPr>
      <w:rFonts w:ascii="Times New Roman" w:hAnsi="Times New Roman" w:cs="Times New Roman"/>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1z3">
    <w:name w:val="WW8Num31z3"/>
    <w:qFormat/>
    <w:rPr>
      <w:rFonts w:ascii="Symbol" w:hAnsi="Symbol" w:cs="Symbol"/>
    </w:rPr>
  </w:style>
  <w:style w:type="character" w:styleId="WW8Num32z0">
    <w:name w:val="WW8Num32z0"/>
    <w:qFormat/>
    <w:rPr>
      <w:rFonts w:ascii="Symbol" w:hAnsi="Symbol" w:cs="Symbol"/>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pPr>
    <w:rPr/>
  </w:style>
  <w:style w:type="paragraph" w:styleId="EndnoteText">
    <w:name w:val="endnote text"/>
    <w:basedOn w:val="Normal"/>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autoSpaceDE w:val="false"/>
      <w:jc w:val="center"/>
    </w:pPr>
    <w:rPr>
      <w:rFonts w:ascii="Arial" w:hAnsi="Arial" w:cs="Arial"/>
      <w:b/>
      <w:bCs/>
      <w:color w:val="000000"/>
      <w:sz w:val="14"/>
      <w:szCs w:val="18"/>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image" Target="media/image3.wmf"/><Relationship Id="rId5" Type="http://schemas.openxmlformats.org/officeDocument/2006/relationships/image" Target="media/image4.wmf"/><Relationship Id="rId6" Type="http://schemas.openxmlformats.org/officeDocument/2006/relationships/image" Target="media/image5.wmf"/><Relationship Id="rId7" Type="http://schemas.openxmlformats.org/officeDocument/2006/relationships/image" Target="media/image6.png"/><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2001-06-07T16:49:00Z</dcterms:created>
  <dc:creator>Partha Ghosh</dc:creator>
  <dc:description/>
  <dc:language>en-CA</dc:language>
  <cp:lastModifiedBy>Michelle Sheehan</cp:lastModifiedBy>
  <cp:lastPrinted>2001-06-07T14:25:00Z</cp:lastPrinted>
  <dcterms:modified xsi:type="dcterms:W3CDTF">2001-06-07T16:49:00Z</dcterms:modified>
  <cp:revision>2</cp:revision>
  <dc:subject>Building  a Substantial Presence in Japan</dc:subject>
  <dc:title>letter to Jeff McMahon at Enron</dc:title>
</cp:coreProperties>
</file>