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Legal Documentation – Financial Trading</w:t>
      </w:r>
    </w:p>
    <w:p>
      <w:pPr>
        <w:pStyle w:val="Normal"/>
        <w:rPr>
          <w:sz w:val="22"/>
        </w:rPr>
      </w:pPr>
      <w:r>
        <w:rPr>
          <w:sz w:val="22"/>
        </w:rPr>
      </w:r>
    </w:p>
    <w:p>
      <w:pPr>
        <w:pStyle w:val="Normal"/>
        <w:jc w:val="center"/>
        <w:rPr>
          <w:sz w:val="22"/>
        </w:rPr>
      </w:pPr>
      <w:r>
        <w:rPr>
          <w:sz w:val="22"/>
        </w:rPr>
        <w:t>Sara Shackleton, ECT Legal Group</w:t>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Heading1"/>
        <w:ind w:hanging="0" w:start="0"/>
        <w:rPr/>
      </w:pPr>
      <w:r>
        <w:rPr/>
        <w:t>Definition</w:t>
      </w:r>
    </w:p>
    <w:p>
      <w:pPr>
        <w:pStyle w:val="Normal"/>
        <w:jc w:val="both"/>
        <w:rPr>
          <w:sz w:val="22"/>
        </w:rPr>
      </w:pPr>
      <w:r>
        <w:rPr>
          <w:sz w:val="22"/>
        </w:rPr>
      </w:r>
    </w:p>
    <w:p>
      <w:pPr>
        <w:pStyle w:val="Normal"/>
        <w:jc w:val="both"/>
        <w:rPr>
          <w:sz w:val="22"/>
        </w:rPr>
      </w:pPr>
      <w:r>
        <w:rPr>
          <w:sz w:val="22"/>
        </w:rPr>
        <w:t>Financially Settled Transactions:  Purchases and Sales Based on Differences between a Fixed Price and a Floating Price (Posted Index Price).  The two most common products are swaps and options.</w:t>
      </w:r>
    </w:p>
    <w:p>
      <w:pPr>
        <w:pStyle w:val="Normal"/>
        <w:jc w:val="both"/>
        <w:rPr>
          <w:sz w:val="22"/>
        </w:rPr>
      </w:pPr>
      <w:r>
        <w:rPr>
          <w:sz w:val="22"/>
        </w:rPr>
      </w:r>
    </w:p>
    <w:p>
      <w:pPr>
        <w:pStyle w:val="Normal"/>
        <w:jc w:val="both"/>
        <w:rPr>
          <w:sz w:val="22"/>
        </w:rPr>
      </w:pPr>
      <w:r>
        <w:rPr>
          <w:sz w:val="22"/>
        </w:rPr>
      </w:r>
    </w:p>
    <w:p>
      <w:pPr>
        <w:pStyle w:val="Heading1"/>
        <w:ind w:hanging="0" w:start="0"/>
        <w:rPr/>
      </w:pPr>
      <w:r>
        <w:rPr/>
        <w:t>Value of Financial Agreements</w:t>
      </w:r>
    </w:p>
    <w:p>
      <w:pPr>
        <w:pStyle w:val="Normal"/>
        <w:jc w:val="both"/>
        <w:rPr>
          <w:sz w:val="22"/>
        </w:rPr>
      </w:pPr>
      <w:r>
        <w:rPr>
          <w:sz w:val="22"/>
        </w:rPr>
      </w:r>
    </w:p>
    <w:p>
      <w:pPr>
        <w:pStyle w:val="Normal"/>
        <w:numPr>
          <w:ilvl w:val="0"/>
          <w:numId w:val="3"/>
        </w:numPr>
        <w:jc w:val="both"/>
        <w:rPr>
          <w:sz w:val="22"/>
        </w:rPr>
      </w:pPr>
      <w:r>
        <w:rPr>
          <w:sz w:val="22"/>
        </w:rPr>
        <w:t>Reduce cost:  Separating physical and financial pricing can reduce cost</w:t>
      </w:r>
    </w:p>
    <w:p>
      <w:pPr>
        <w:pStyle w:val="Normal"/>
        <w:jc w:val="both"/>
        <w:rPr>
          <w:sz w:val="22"/>
        </w:rPr>
      </w:pPr>
      <w:r>
        <w:rPr>
          <w:sz w:val="22"/>
        </w:rPr>
      </w:r>
    </w:p>
    <w:p>
      <w:pPr>
        <w:pStyle w:val="Normal"/>
        <w:numPr>
          <w:ilvl w:val="0"/>
          <w:numId w:val="3"/>
        </w:numPr>
        <w:jc w:val="both"/>
        <w:rPr>
          <w:sz w:val="22"/>
        </w:rPr>
      </w:pPr>
      <w:r>
        <w:rPr>
          <w:sz w:val="22"/>
        </w:rPr>
        <w:t xml:space="preserve">Contractual obligations preclude competitive bidding (i.e. PX, utility tariffs) </w:t>
      </w:r>
    </w:p>
    <w:p>
      <w:pPr>
        <w:pStyle w:val="Normal"/>
        <w:jc w:val="both"/>
        <w:rPr>
          <w:sz w:val="22"/>
        </w:rPr>
      </w:pPr>
      <w:r>
        <w:rPr>
          <w:sz w:val="22"/>
        </w:rPr>
      </w:r>
    </w:p>
    <w:p>
      <w:pPr>
        <w:pStyle w:val="Normal"/>
        <w:numPr>
          <w:ilvl w:val="0"/>
          <w:numId w:val="3"/>
        </w:numPr>
        <w:jc w:val="both"/>
        <w:rPr>
          <w:sz w:val="22"/>
        </w:rPr>
      </w:pPr>
      <w:r>
        <w:rPr>
          <w:sz w:val="22"/>
        </w:rPr>
        <w:t>Financial settlement eliminates need for Force Majeure and costs/charges for failure to perform</w:t>
      </w:r>
    </w:p>
    <w:p>
      <w:pPr>
        <w:pStyle w:val="Normal"/>
        <w:jc w:val="both"/>
        <w:rPr>
          <w:sz w:val="22"/>
        </w:rPr>
      </w:pPr>
      <w:r>
        <w:rPr>
          <w:sz w:val="22"/>
        </w:rPr>
      </w:r>
    </w:p>
    <w:p>
      <w:pPr>
        <w:pStyle w:val="Normal"/>
        <w:numPr>
          <w:ilvl w:val="0"/>
          <w:numId w:val="3"/>
        </w:numPr>
        <w:spacing w:before="0" w:after="240"/>
        <w:jc w:val="both"/>
        <w:rPr>
          <w:sz w:val="22"/>
        </w:rPr>
      </w:pPr>
      <w:r>
        <w:rPr>
          <w:sz w:val="22"/>
        </w:rPr>
        <w:t>Flexibility to change position</w:t>
      </w:r>
    </w:p>
    <w:p>
      <w:pPr>
        <w:pStyle w:val="Normal"/>
        <w:spacing w:before="0" w:after="240"/>
        <w:jc w:val="both"/>
        <w:rPr>
          <w:sz w:val="22"/>
        </w:rPr>
      </w:pPr>
      <w:r>
        <w:rPr>
          <w:sz w:val="22"/>
        </w:rPr>
      </w:r>
    </w:p>
    <w:p>
      <w:pPr>
        <w:pStyle w:val="Heading1"/>
        <w:spacing w:before="0" w:after="240"/>
        <w:ind w:hanging="0" w:start="0"/>
        <w:rPr/>
      </w:pPr>
      <w:r>
        <w:rPr/>
        <w:t>Legal Issues for Financial Agreements</w:t>
      </w:r>
    </w:p>
    <w:p>
      <w:pPr>
        <w:pStyle w:val="Normal"/>
        <w:numPr>
          <w:ilvl w:val="0"/>
          <w:numId w:val="3"/>
        </w:numPr>
        <w:spacing w:before="0" w:after="240"/>
        <w:jc w:val="both"/>
        <w:rPr>
          <w:sz w:val="22"/>
        </w:rPr>
      </w:pPr>
      <w:r>
        <w:rPr>
          <w:sz w:val="22"/>
        </w:rPr>
        <w:t>Use of industry standard ISDA (International Swaps and Derivatives Association, Inc.) Master Agreement and Credit Support Annex designed to cover multiple transactions and products</w:t>
      </w:r>
    </w:p>
    <w:p>
      <w:pPr>
        <w:pStyle w:val="Normal"/>
        <w:numPr>
          <w:ilvl w:val="0"/>
          <w:numId w:val="3"/>
        </w:numPr>
        <w:spacing w:before="0" w:after="240"/>
        <w:jc w:val="both"/>
        <w:rPr>
          <w:sz w:val="22"/>
        </w:rPr>
      </w:pPr>
      <w:r>
        <w:rPr>
          <w:sz w:val="22"/>
        </w:rPr>
        <w:t>Bilateral documents usually negotiated prior to any transaction</w:t>
      </w:r>
    </w:p>
    <w:p>
      <w:pPr>
        <w:pStyle w:val="Normal"/>
        <w:numPr>
          <w:ilvl w:val="0"/>
          <w:numId w:val="3"/>
        </w:numPr>
        <w:spacing w:before="0" w:after="240"/>
        <w:jc w:val="both"/>
        <w:rPr>
          <w:sz w:val="22"/>
        </w:rPr>
      </w:pPr>
      <w:r>
        <w:rPr>
          <w:sz w:val="22"/>
        </w:rPr>
        <w:t>Subject to Commodity Futures Trading Commission (“CFTC”) Regulation</w:t>
      </w:r>
    </w:p>
    <w:p>
      <w:pPr>
        <w:pStyle w:val="Normal"/>
        <w:numPr>
          <w:ilvl w:val="0"/>
          <w:numId w:val="3"/>
        </w:numPr>
        <w:spacing w:before="0" w:after="240"/>
        <w:jc w:val="both"/>
        <w:rPr>
          <w:sz w:val="22"/>
        </w:rPr>
      </w:pPr>
      <w:r>
        <w:rPr>
          <w:sz w:val="22"/>
        </w:rPr>
        <w:t>Swap Exemption and Eligible Swap Participant as defined under CFTC rules (see attached Exhibit A)</w:t>
      </w:r>
    </w:p>
    <w:p>
      <w:pPr>
        <w:pStyle w:val="Normal"/>
        <w:numPr>
          <w:ilvl w:val="0"/>
          <w:numId w:val="3"/>
        </w:numPr>
        <w:spacing w:before="0" w:after="240"/>
        <w:jc w:val="both"/>
        <w:rPr>
          <w:sz w:val="22"/>
        </w:rPr>
      </w:pPr>
      <w:r>
        <w:rPr>
          <w:sz w:val="22"/>
        </w:rPr>
        <w:t>Individually tailored and negotiated by the parties based upon credit considerations</w:t>
      </w:r>
    </w:p>
    <w:p>
      <w:pPr>
        <w:pStyle w:val="Normal"/>
        <w:numPr>
          <w:ilvl w:val="0"/>
          <w:numId w:val="3"/>
        </w:numPr>
        <w:spacing w:before="0" w:after="240"/>
        <w:jc w:val="both"/>
        <w:rPr>
          <w:sz w:val="22"/>
        </w:rPr>
      </w:pPr>
      <w:r>
        <w:rPr>
          <w:sz w:val="22"/>
        </w:rPr>
        <w:t>Burden on each party to the ISDA Master Agreement to rely upon its own advisors and understanding of the transaction risks</w:t>
      </w:r>
    </w:p>
    <w:p>
      <w:pPr>
        <w:pStyle w:val="Normal"/>
        <w:numPr>
          <w:ilvl w:val="0"/>
          <w:numId w:val="3"/>
        </w:numPr>
        <w:spacing w:before="0" w:after="240"/>
        <w:jc w:val="both"/>
        <w:rPr>
          <w:b/>
          <w:sz w:val="24"/>
        </w:rPr>
      </w:pPr>
      <w:r>
        <w:rPr>
          <w:sz w:val="22"/>
        </w:rPr>
        <w:t>Ease of transacting under ISDA Master Agreement and related documents</w:t>
      </w:r>
      <w:r>
        <w:br w:type="page"/>
      </w:r>
    </w:p>
    <w:p>
      <w:pPr>
        <w:pStyle w:val="Normal"/>
        <w:spacing w:before="0" w:after="240"/>
        <w:jc w:val="both"/>
        <w:rPr>
          <w:b/>
          <w:sz w:val="24"/>
        </w:rPr>
      </w:pPr>
      <w:r>
        <w:rPr>
          <w:b/>
          <w:sz w:val="24"/>
        </w:rPr>
        <w:t>EXHIBIT A</w:t>
      </w:r>
    </w:p>
    <w:p>
      <w:pPr>
        <w:pStyle w:val="Normal"/>
        <w:jc w:val="center"/>
        <w:rPr>
          <w:b/>
          <w:sz w:val="32"/>
        </w:rPr>
      </w:pPr>
      <w:r>
        <w:rPr>
          <w:b/>
          <w:sz w:val="32"/>
        </w:rPr>
      </w:r>
    </w:p>
    <w:p>
      <w:pPr>
        <w:pStyle w:val="Normal"/>
        <w:jc w:val="center"/>
        <w:rPr>
          <w:b/>
          <w:sz w:val="28"/>
        </w:rPr>
      </w:pPr>
      <w:r>
        <w:rPr>
          <w:b/>
          <w:sz w:val="28"/>
        </w:rPr>
        <w:t>"ELIGIBLE SWAP PARTICIPANTS"</w:t>
      </w:r>
    </w:p>
    <w:p>
      <w:pPr>
        <w:pStyle w:val="Normal"/>
        <w:ind w:hanging="720" w:start="720" w:end="0"/>
        <w:jc w:val="both"/>
        <w:rPr>
          <w:b/>
          <w:sz w:val="28"/>
        </w:rPr>
      </w:pPr>
      <w:r>
        <w:rPr>
          <w:b/>
          <w:sz w:val="28"/>
        </w:rPr>
      </w:r>
    </w:p>
    <w:p>
      <w:pPr>
        <w:pStyle w:val="Normal"/>
        <w:ind w:hanging="720" w:start="720" w:end="0"/>
        <w:jc w:val="both"/>
        <w:rPr>
          <w:sz w:val="22"/>
        </w:rPr>
      </w:pPr>
      <w:r>
        <w:rPr>
          <w:sz w:val="22"/>
        </w:rPr>
        <w:tab/>
        <w:t>The swap agreement must be between "eligible swap participants" which include:</w:t>
      </w:r>
    </w:p>
    <w:p>
      <w:pPr>
        <w:pStyle w:val="Normal"/>
        <w:ind w:hanging="720" w:start="1440" w:end="0"/>
        <w:jc w:val="both"/>
        <w:rPr>
          <w:sz w:val="22"/>
        </w:rPr>
      </w:pPr>
      <w:r>
        <w:rPr>
          <w:sz w:val="22"/>
        </w:rPr>
      </w:r>
    </w:p>
    <w:p>
      <w:pPr>
        <w:pStyle w:val="Normal"/>
        <w:numPr>
          <w:ilvl w:val="0"/>
          <w:numId w:val="2"/>
        </w:numPr>
        <w:ind w:hanging="720" w:start="720" w:end="0"/>
        <w:jc w:val="both"/>
        <w:rPr>
          <w:sz w:val="22"/>
        </w:rPr>
      </w:pPr>
      <w:r>
        <w:rPr>
          <w:sz w:val="22"/>
        </w:rPr>
        <w:t>a bank or trust company (acting on its own behalf or on behalf of another eligible swap participant);</w:t>
      </w:r>
    </w:p>
    <w:p>
      <w:pPr>
        <w:pStyle w:val="Normal"/>
        <w:numPr>
          <w:ilvl w:val="0"/>
          <w:numId w:val="0"/>
        </w:numPr>
        <w:ind w:hanging="720" w:start="720" w:end="0"/>
        <w:jc w:val="both"/>
        <w:rPr>
          <w:sz w:val="22"/>
        </w:rPr>
      </w:pPr>
      <w:r>
        <w:rPr>
          <w:sz w:val="22"/>
        </w:rPr>
      </w:r>
    </w:p>
    <w:p>
      <w:pPr>
        <w:pStyle w:val="Normal"/>
        <w:numPr>
          <w:ilvl w:val="0"/>
          <w:numId w:val="2"/>
        </w:numPr>
        <w:ind w:hanging="720" w:start="720" w:end="0"/>
        <w:jc w:val="both"/>
        <w:rPr>
          <w:sz w:val="22"/>
        </w:rPr>
      </w:pPr>
      <w:r>
        <w:rPr>
          <w:sz w:val="22"/>
        </w:rPr>
        <w:t>a savings association or credit union;</w:t>
      </w:r>
    </w:p>
    <w:p>
      <w:pPr>
        <w:pStyle w:val="Normal"/>
        <w:numPr>
          <w:ilvl w:val="0"/>
          <w:numId w:val="0"/>
        </w:numPr>
        <w:ind w:hanging="720" w:start="720" w:end="0"/>
        <w:jc w:val="both"/>
        <w:rPr>
          <w:sz w:val="22"/>
        </w:rPr>
      </w:pPr>
      <w:r>
        <w:rPr>
          <w:sz w:val="22"/>
        </w:rPr>
      </w:r>
    </w:p>
    <w:p>
      <w:pPr>
        <w:pStyle w:val="Normal"/>
        <w:numPr>
          <w:ilvl w:val="0"/>
          <w:numId w:val="2"/>
        </w:numPr>
        <w:ind w:hanging="720" w:start="720" w:end="0"/>
        <w:jc w:val="both"/>
        <w:rPr>
          <w:sz w:val="22"/>
        </w:rPr>
      </w:pPr>
      <w:r>
        <w:rPr>
          <w:sz w:val="22"/>
        </w:rPr>
        <w:t>an insurance company;</w:t>
      </w:r>
    </w:p>
    <w:p>
      <w:pPr>
        <w:pStyle w:val="Normal"/>
        <w:numPr>
          <w:ilvl w:val="0"/>
          <w:numId w:val="0"/>
        </w:numPr>
        <w:ind w:hanging="720" w:start="720" w:end="0"/>
        <w:jc w:val="both"/>
        <w:rPr>
          <w:sz w:val="22"/>
        </w:rPr>
      </w:pPr>
      <w:r>
        <w:rPr>
          <w:sz w:val="22"/>
        </w:rPr>
      </w:r>
    </w:p>
    <w:p>
      <w:pPr>
        <w:pStyle w:val="Normal"/>
        <w:numPr>
          <w:ilvl w:val="0"/>
          <w:numId w:val="2"/>
        </w:numPr>
        <w:ind w:hanging="720" w:start="720" w:end="0"/>
        <w:jc w:val="both"/>
        <w:rPr>
          <w:sz w:val="22"/>
        </w:rPr>
      </w:pPr>
      <w:r>
        <w:rPr>
          <w:sz w:val="22"/>
        </w:rPr>
        <w:t>an investment company subject to regulation under the Investment Company Act of 1940 or a similarly regulated foreign person;</w:t>
      </w:r>
    </w:p>
    <w:p>
      <w:pPr>
        <w:pStyle w:val="Normal"/>
        <w:numPr>
          <w:ilvl w:val="0"/>
          <w:numId w:val="0"/>
        </w:numPr>
        <w:ind w:hanging="720" w:start="720" w:end="0"/>
        <w:jc w:val="both"/>
        <w:rPr>
          <w:sz w:val="22"/>
        </w:rPr>
      </w:pPr>
      <w:r>
        <w:rPr>
          <w:sz w:val="22"/>
        </w:rPr>
      </w:r>
    </w:p>
    <w:p>
      <w:pPr>
        <w:pStyle w:val="Normal"/>
        <w:numPr>
          <w:ilvl w:val="0"/>
          <w:numId w:val="2"/>
        </w:numPr>
        <w:ind w:hanging="720" w:start="720" w:end="0"/>
        <w:jc w:val="both"/>
        <w:rPr>
          <w:sz w:val="22"/>
        </w:rPr>
      </w:pPr>
      <w:r>
        <w:rPr>
          <w:sz w:val="22"/>
        </w:rPr>
        <w:t>a commodity pool subject to the Commodity Exchange Act (“CEA”) having assets exceeding $5 million or a similarly regulated foreign person;</w:t>
      </w:r>
    </w:p>
    <w:p>
      <w:pPr>
        <w:pStyle w:val="Normal"/>
        <w:numPr>
          <w:ilvl w:val="0"/>
          <w:numId w:val="0"/>
        </w:numPr>
        <w:ind w:hanging="720" w:start="720" w:end="0"/>
        <w:jc w:val="both"/>
        <w:rPr>
          <w:sz w:val="22"/>
        </w:rPr>
      </w:pPr>
      <w:r>
        <w:rPr>
          <w:sz w:val="22"/>
        </w:rPr>
      </w:r>
    </w:p>
    <w:p>
      <w:pPr>
        <w:pStyle w:val="Normal"/>
        <w:numPr>
          <w:ilvl w:val="0"/>
          <w:numId w:val="2"/>
        </w:numPr>
        <w:ind w:hanging="720" w:start="720" w:end="0"/>
        <w:jc w:val="both"/>
        <w:rPr>
          <w:sz w:val="22"/>
        </w:rPr>
      </w:pPr>
      <w:r>
        <w:rPr>
          <w:sz w:val="22"/>
        </w:rPr>
        <w:t>a corporation, partnership, proprietorship, organization, trust or other entity (not formed for the specific purpose of constituting an eligible swap participant) (A) having total assets in excess of $10 million, (B) the obligations of the swap agreement are guaranteed by a letter of credit or other agreement, by an entity referred to in Items 1 – 6 or 8, or (C) which has a net worth of $1 million and enters into the swap agreement in connection with the conduct of its business, or which has a net worth of $1 million and enters into the swap agreement to manage the risk of an asset or liability owned or incurred in the conduct of its business or reasonably likely to be owned or incurred in the conduct of its business;</w:t>
      </w:r>
    </w:p>
    <w:p>
      <w:pPr>
        <w:pStyle w:val="Normal"/>
        <w:numPr>
          <w:ilvl w:val="0"/>
          <w:numId w:val="0"/>
        </w:numPr>
        <w:ind w:hanging="720" w:start="720" w:end="0"/>
        <w:jc w:val="both"/>
        <w:rPr>
          <w:sz w:val="22"/>
        </w:rPr>
      </w:pPr>
      <w:r>
        <w:rPr>
          <w:sz w:val="22"/>
        </w:rPr>
      </w:r>
    </w:p>
    <w:p>
      <w:pPr>
        <w:pStyle w:val="Normal"/>
        <w:numPr>
          <w:ilvl w:val="0"/>
          <w:numId w:val="2"/>
        </w:numPr>
        <w:ind w:hanging="720" w:start="720" w:end="0"/>
        <w:jc w:val="both"/>
        <w:rPr>
          <w:sz w:val="22"/>
        </w:rPr>
      </w:pPr>
      <w:r>
        <w:rPr>
          <w:sz w:val="22"/>
        </w:rPr>
        <w:t>employee benefit plans subject to ERISA with total assets exceeding $5 million or whose investment decisions are made by a bank, trust company, insurance company, investment adviser subject to the Investment Advisors Act of 1940, or a commodity trading advisor subject to the CEA;</w:t>
      </w:r>
    </w:p>
    <w:p>
      <w:pPr>
        <w:pStyle w:val="Normal"/>
        <w:numPr>
          <w:ilvl w:val="0"/>
          <w:numId w:val="0"/>
        </w:numPr>
        <w:ind w:hanging="720" w:start="720" w:end="0"/>
        <w:jc w:val="both"/>
        <w:rPr>
          <w:sz w:val="22"/>
        </w:rPr>
      </w:pPr>
      <w:r>
        <w:rPr>
          <w:sz w:val="22"/>
        </w:rPr>
      </w:r>
    </w:p>
    <w:p>
      <w:pPr>
        <w:pStyle w:val="Normal"/>
        <w:numPr>
          <w:ilvl w:val="0"/>
          <w:numId w:val="2"/>
        </w:numPr>
        <w:ind w:hanging="720" w:start="720" w:end="0"/>
        <w:jc w:val="both"/>
        <w:rPr>
          <w:sz w:val="22"/>
        </w:rPr>
      </w:pPr>
      <w:r>
        <w:rPr>
          <w:sz w:val="22"/>
        </w:rPr>
        <w:t>any governmental entity (including the United States, any state, or any foreign government) or political subdivision thereof, or any multinational or supranational entity or any instrumentality, agency, or department of any of the foregoing;</w:t>
      </w:r>
    </w:p>
    <w:p>
      <w:pPr>
        <w:pStyle w:val="Normal"/>
        <w:numPr>
          <w:ilvl w:val="0"/>
          <w:numId w:val="0"/>
        </w:numPr>
        <w:ind w:hanging="720" w:start="720" w:end="0"/>
        <w:jc w:val="both"/>
        <w:rPr>
          <w:sz w:val="22"/>
        </w:rPr>
      </w:pPr>
      <w:r>
        <w:rPr>
          <w:sz w:val="22"/>
        </w:rPr>
      </w:r>
    </w:p>
    <w:p>
      <w:pPr>
        <w:pStyle w:val="Normal"/>
        <w:numPr>
          <w:ilvl w:val="0"/>
          <w:numId w:val="2"/>
        </w:numPr>
        <w:ind w:hanging="720" w:start="720" w:end="0"/>
        <w:jc w:val="both"/>
        <w:rPr>
          <w:sz w:val="22"/>
        </w:rPr>
      </w:pPr>
      <w:r>
        <w:rPr>
          <w:sz w:val="22"/>
        </w:rPr>
        <w:t xml:space="preserve">any broker dealer subject to regulation under the Securities Exchange Act of 1934 or a foreign person performing a similar role or function subject as such to foreign regulation, acting on its own behalf or on behalf of another eligible swap participant:  </w:t>
      </w:r>
      <w:r>
        <w:rPr>
          <w:i/>
          <w:sz w:val="22"/>
        </w:rPr>
        <w:t>provided, however</w:t>
      </w:r>
      <w:r>
        <w:rPr>
          <w:sz w:val="22"/>
        </w:rPr>
        <w:t>, that if such broker-dealer is a natural person or proprietorship, the broker-dealer must also meet the requirements of Item 6 above or Item 11;</w:t>
      </w:r>
    </w:p>
    <w:p>
      <w:pPr>
        <w:pStyle w:val="Normal"/>
        <w:numPr>
          <w:ilvl w:val="0"/>
          <w:numId w:val="0"/>
        </w:numPr>
        <w:ind w:hanging="720" w:start="720" w:end="0"/>
        <w:jc w:val="both"/>
        <w:rPr>
          <w:sz w:val="22"/>
        </w:rPr>
      </w:pPr>
      <w:r>
        <w:rPr>
          <w:sz w:val="22"/>
        </w:rPr>
      </w:r>
    </w:p>
    <w:p>
      <w:pPr>
        <w:pStyle w:val="Normal"/>
        <w:numPr>
          <w:ilvl w:val="0"/>
          <w:numId w:val="2"/>
        </w:numPr>
        <w:ind w:hanging="720" w:start="720" w:end="0"/>
        <w:jc w:val="both"/>
        <w:rPr>
          <w:sz w:val="22"/>
        </w:rPr>
      </w:pPr>
      <w:r>
        <w:rPr>
          <w:sz w:val="22"/>
        </w:rPr>
        <w:t xml:space="preserve">a futures commission merchant, floor broker, or floor trader subject to the CEA or a foreign person performing a similar function subject as such to foreign regulation acting on its own behalf or on behalf of another eligible swap participant, </w:t>
      </w:r>
      <w:r>
        <w:rPr>
          <w:i/>
          <w:sz w:val="22"/>
        </w:rPr>
        <w:t>provided, however</w:t>
      </w:r>
      <w:r>
        <w:rPr>
          <w:sz w:val="22"/>
        </w:rPr>
        <w:t>,  that if such futures commission merchant, floor broker, or floor trader is a natural person or proprietorship, the futures commission merchant, floor broker, or floor trader must also meet the requirements of Item 6 above or Item 11 below; or</w:t>
      </w:r>
    </w:p>
    <w:p>
      <w:pPr>
        <w:pStyle w:val="Normal"/>
        <w:numPr>
          <w:ilvl w:val="0"/>
          <w:numId w:val="0"/>
        </w:numPr>
        <w:ind w:hanging="720" w:start="720" w:end="0"/>
        <w:jc w:val="both"/>
        <w:rPr>
          <w:sz w:val="22"/>
        </w:rPr>
      </w:pPr>
      <w:r>
        <w:rPr>
          <w:sz w:val="22"/>
        </w:rPr>
      </w:r>
    </w:p>
    <w:p>
      <w:pPr>
        <w:pStyle w:val="Normal"/>
        <w:numPr>
          <w:ilvl w:val="0"/>
          <w:numId w:val="2"/>
        </w:numPr>
        <w:ind w:hanging="720" w:start="720" w:end="0"/>
        <w:jc w:val="both"/>
        <w:rPr>
          <w:sz w:val="22"/>
        </w:rPr>
      </w:pPr>
      <w:r>
        <w:rPr>
          <w:sz w:val="22"/>
        </w:rPr>
        <w:t>a natural person having total assets in excess of $10 million.</w:t>
      </w:r>
    </w:p>
    <w:p>
      <w:pPr>
        <w:pStyle w:val="BodyTextIndent"/>
        <w:tabs>
          <w:tab w:val="left" w:pos="360" w:leader="none"/>
          <w:tab w:val="left" w:pos="1440" w:leader="none"/>
          <w:tab w:val="left" w:pos="1620" w:leader="none"/>
        </w:tabs>
        <w:ind w:hanging="1620" w:start="1620" w:end="0"/>
        <w:rPr>
          <w:sz w:val="22"/>
        </w:rPr>
      </w:pPr>
      <w:r>
        <w:rPr>
          <w:sz w:val="22"/>
        </w:rPr>
      </w:r>
    </w:p>
    <w:p>
      <w:pPr>
        <w:pStyle w:val="Normal"/>
        <w:spacing w:before="0" w:after="240"/>
        <w:jc w:val="both"/>
        <w:rPr>
          <w:sz w:val="22"/>
        </w:rPr>
      </w:pPr>
      <w:r>
        <w:rPr>
          <w:sz w:val="22"/>
        </w:rPr>
      </w:r>
    </w:p>
    <w:sectPr>
      <w:type w:val="nextPage"/>
      <w:pgSz w:w="12240" w:h="15840"/>
      <w:pgMar w:left="1440" w:right="1440" w:gutter="0" w:header="0" w:top="1152" w:footer="0" w:bottom="115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0" w:characterSet="windows-1252"/>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Times New Roman" w:hAnsi="Times New Roman;Times New Roman" w:eastAsia="Times New Roman;Times New Roman" w:cs="Times New Roman;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both"/>
      <w:outlineLvl w:val="0"/>
    </w:pPr>
    <w:rPr>
      <w:b/>
      <w:sz w:val="22"/>
    </w:rPr>
  </w:style>
  <w:style w:type="character" w:styleId="WW8Num2z0">
    <w:name w:val="WW8Num2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jc w:val="center"/>
    </w:pPr>
    <w:rPr>
      <w:b/>
      <w:sz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tabs>
        <w:tab w:val="clear" w:pos="720"/>
        <w:tab w:val="left" w:pos="1440" w:leader="none"/>
      </w:tabs>
      <w:ind w:hanging="1440" w:start="1440" w:end="0"/>
      <w:jc w:val="both"/>
    </w:pPr>
    <w:rPr>
      <w:sz w:val="24"/>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1999-05-12T12:58:00Z</dcterms:created>
  <dc:creator>kaye ellis</dc:creator>
  <dc:description/>
  <dc:language>en-CA</dc:language>
  <cp:lastModifiedBy>kaye ellis</cp:lastModifiedBy>
  <cp:lastPrinted>1999-05-12T16:44:00Z</cp:lastPrinted>
  <dcterms:modified xsi:type="dcterms:W3CDTF">1999-05-12T19:24:00Z</dcterms:modified>
  <cp:revision>3</cp:revision>
  <dc:subject/>
  <dc:title>ISO/PX Public Power Trading Opportunities for the California Electricity Market:</dc:title>
</cp:coreProperties>
</file>