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ISO/PX Public Power Trading Opportunities for the California Electricity Market:</w:t>
      </w:r>
    </w:p>
    <w:p>
      <w:pPr>
        <w:pStyle w:val="Normal"/>
        <w:jc w:val="center"/>
        <w:rPr>
          <w:sz w:val="22"/>
        </w:rPr>
      </w:pPr>
      <w:r>
        <w:rPr>
          <w:sz w:val="22"/>
        </w:rPr>
        <w:t>Enron Capital &amp; Trade Resources’ Perspective</w:t>
      </w:r>
    </w:p>
    <w:p>
      <w:pPr>
        <w:pStyle w:val="Normal"/>
        <w:jc w:val="center"/>
        <w:rPr>
          <w:sz w:val="22"/>
        </w:rPr>
      </w:pPr>
      <w:r>
        <w:rPr>
          <w:sz w:val="22"/>
        </w:rPr>
      </w:r>
    </w:p>
    <w:p>
      <w:pPr>
        <w:pStyle w:val="Normal"/>
        <w:jc w:val="center"/>
        <w:rPr>
          <w:sz w:val="22"/>
        </w:rPr>
      </w:pPr>
      <w:r>
        <w:rPr>
          <w:sz w:val="22"/>
        </w:rPr>
      </w:r>
    </w:p>
    <w:p>
      <w:pPr>
        <w:pStyle w:val="Normal"/>
        <w:spacing w:before="0" w:after="240"/>
        <w:rPr>
          <w:sz w:val="22"/>
        </w:rPr>
      </w:pPr>
      <w:r>
        <w:rPr>
          <w:sz w:val="22"/>
        </w:rPr>
        <w:t>May 19, 1999</w:t>
      </w:r>
    </w:p>
    <w:p>
      <w:pPr>
        <w:pStyle w:val="Normal"/>
        <w:rPr>
          <w:sz w:val="22"/>
        </w:rPr>
      </w:pPr>
      <w:r>
        <w:rPr>
          <w:sz w:val="22"/>
        </w:rPr>
        <w:t>Legal Documentation – Financial Trading</w:t>
      </w:r>
    </w:p>
    <w:p>
      <w:pPr>
        <w:pStyle w:val="Normal"/>
        <w:rPr>
          <w:sz w:val="22"/>
        </w:rPr>
      </w:pPr>
      <w:r>
        <w:rPr>
          <w:sz w:val="22"/>
        </w:rPr>
      </w:r>
    </w:p>
    <w:p>
      <w:pPr>
        <w:pStyle w:val="Normal"/>
        <w:jc w:val="both"/>
        <w:rPr>
          <w:sz w:val="22"/>
        </w:rPr>
      </w:pPr>
      <w:r>
        <w:rPr>
          <w:sz w:val="22"/>
        </w:rPr>
      </w:r>
    </w:p>
    <w:p>
      <w:pPr>
        <w:pStyle w:val="Normal"/>
        <w:numPr>
          <w:ilvl w:val="0"/>
          <w:numId w:val="2"/>
        </w:numPr>
        <w:spacing w:before="0" w:after="240"/>
        <w:jc w:val="both"/>
        <w:rPr>
          <w:sz w:val="22"/>
        </w:rPr>
      </w:pPr>
      <w:r>
        <w:rPr>
          <w:sz w:val="22"/>
        </w:rPr>
        <w:t>Financially-settled transactions</w:t>
      </w:r>
    </w:p>
    <w:p>
      <w:pPr>
        <w:pStyle w:val="Normal"/>
        <w:numPr>
          <w:ilvl w:val="0"/>
          <w:numId w:val="2"/>
        </w:numPr>
        <w:spacing w:before="0" w:after="240"/>
        <w:jc w:val="both"/>
        <w:rPr>
          <w:sz w:val="22"/>
        </w:rPr>
      </w:pPr>
      <w:r>
        <w:rPr>
          <w:sz w:val="22"/>
        </w:rPr>
        <w:t>Use of industry standard ISDA (International Swaps and Derivatives Association, Inc.) Master Agreement and Credit Support Annex designed to cover multiple financial transactions and products</w:t>
      </w:r>
    </w:p>
    <w:p>
      <w:pPr>
        <w:pStyle w:val="Normal"/>
        <w:numPr>
          <w:ilvl w:val="0"/>
          <w:numId w:val="2"/>
        </w:numPr>
        <w:spacing w:before="0" w:after="240"/>
        <w:jc w:val="both"/>
        <w:rPr>
          <w:sz w:val="22"/>
        </w:rPr>
      </w:pPr>
      <w:r>
        <w:rPr>
          <w:sz w:val="22"/>
        </w:rPr>
        <w:t>bilateral documents negotiated up-front</w:t>
      </w:r>
    </w:p>
    <w:p>
      <w:pPr>
        <w:pStyle w:val="Normal"/>
        <w:numPr>
          <w:ilvl w:val="0"/>
          <w:numId w:val="2"/>
        </w:numPr>
        <w:spacing w:before="0" w:after="240"/>
        <w:jc w:val="both"/>
        <w:rPr>
          <w:sz w:val="22"/>
        </w:rPr>
      </w:pPr>
      <w:r>
        <w:rPr>
          <w:sz w:val="22"/>
        </w:rPr>
        <w:t>subject to Commodity Futures Trading Commission (“CFTC”) regulation</w:t>
      </w:r>
    </w:p>
    <w:p>
      <w:pPr>
        <w:pStyle w:val="Normal"/>
        <w:numPr>
          <w:ilvl w:val="0"/>
          <w:numId w:val="2"/>
        </w:numPr>
        <w:spacing w:before="0" w:after="240"/>
        <w:jc w:val="both"/>
        <w:rPr>
          <w:sz w:val="22"/>
        </w:rPr>
      </w:pPr>
      <w:r>
        <w:rPr>
          <w:sz w:val="22"/>
        </w:rPr>
        <w:t>Swap Exemption and Eligible Swap Participant as defined under CFTC rules (see attached Exhibit A)</w:t>
      </w:r>
    </w:p>
    <w:p>
      <w:pPr>
        <w:pStyle w:val="Normal"/>
        <w:numPr>
          <w:ilvl w:val="0"/>
          <w:numId w:val="2"/>
        </w:numPr>
        <w:spacing w:before="0" w:after="240"/>
        <w:jc w:val="both"/>
        <w:rPr>
          <w:sz w:val="22"/>
        </w:rPr>
      </w:pPr>
      <w:r>
        <w:rPr>
          <w:sz w:val="22"/>
        </w:rPr>
        <w:t>individually tailored and negotiated by the parties based upon credit considerations</w:t>
      </w:r>
    </w:p>
    <w:p>
      <w:pPr>
        <w:pStyle w:val="Normal"/>
        <w:numPr>
          <w:ilvl w:val="0"/>
          <w:numId w:val="2"/>
        </w:numPr>
        <w:spacing w:before="0" w:after="240"/>
        <w:jc w:val="both"/>
        <w:rPr>
          <w:sz w:val="22"/>
        </w:rPr>
      </w:pPr>
      <w:r>
        <w:rPr>
          <w:sz w:val="22"/>
        </w:rPr>
        <w:t>burden on each party to the ISDA Master Agreement to rely upon its own advisors and understanding of the transaction risks</w:t>
      </w:r>
    </w:p>
    <w:p>
      <w:pPr>
        <w:pStyle w:val="Normal"/>
        <w:numPr>
          <w:ilvl w:val="0"/>
          <w:numId w:val="2"/>
        </w:numPr>
        <w:spacing w:before="0" w:after="240"/>
        <w:jc w:val="both"/>
        <w:rPr>
          <w:sz w:val="22"/>
        </w:rPr>
      </w:pPr>
      <w:r>
        <w:rPr>
          <w:sz w:val="22"/>
        </w:rPr>
        <w:t>pure financial settlement (no delivery of a commodity) eliminates need for force majeure and costs/charges for failure to deliver or receive energy (transmission risk)</w:t>
      </w:r>
    </w:p>
    <w:p>
      <w:pPr>
        <w:pStyle w:val="Normal"/>
        <w:numPr>
          <w:ilvl w:val="0"/>
          <w:numId w:val="2"/>
        </w:numPr>
        <w:spacing w:before="0" w:after="240"/>
        <w:jc w:val="both"/>
        <w:rPr>
          <w:sz w:val="22"/>
        </w:rPr>
      </w:pPr>
      <w:r>
        <w:rPr>
          <w:sz w:val="22"/>
        </w:rPr>
        <w:t>ease of transacting under ISDA Master Agreement and related documents</w:t>
      </w:r>
      <w:r>
        <w:br w:type="page"/>
      </w:r>
    </w:p>
    <w:p>
      <w:pPr>
        <w:pStyle w:val="Normal"/>
        <w:jc w:val="center"/>
        <w:rPr>
          <w:b/>
          <w:sz w:val="24"/>
        </w:rPr>
      </w:pPr>
      <w:r>
        <w:rPr>
          <w:b/>
          <w:sz w:val="24"/>
        </w:rPr>
        <w:t>EXHIBIT A</w:t>
      </w:r>
    </w:p>
    <w:p>
      <w:pPr>
        <w:pStyle w:val="Normal"/>
        <w:jc w:val="center"/>
        <w:rPr>
          <w:b/>
          <w:sz w:val="32"/>
        </w:rPr>
      </w:pPr>
      <w:r>
        <w:rPr>
          <w:b/>
          <w:sz w:val="32"/>
        </w:rPr>
      </w:r>
    </w:p>
    <w:p>
      <w:pPr>
        <w:pStyle w:val="Normal"/>
        <w:jc w:val="center"/>
        <w:rPr>
          <w:b/>
          <w:sz w:val="28"/>
        </w:rPr>
      </w:pPr>
      <w:r>
        <w:rPr>
          <w:b/>
          <w:sz w:val="28"/>
        </w:rPr>
        <w:t>"ELIGIBLE SWAP PARTICIPANTS"</w:t>
      </w:r>
    </w:p>
    <w:p>
      <w:pPr>
        <w:pStyle w:val="Normal"/>
        <w:ind w:hanging="720" w:start="720" w:end="0"/>
        <w:jc w:val="both"/>
        <w:rPr>
          <w:b/>
          <w:sz w:val="28"/>
        </w:rPr>
      </w:pPr>
      <w:r>
        <w:rPr>
          <w:b/>
          <w:sz w:val="28"/>
        </w:rPr>
      </w:r>
    </w:p>
    <w:p>
      <w:pPr>
        <w:pStyle w:val="Normal"/>
        <w:ind w:hanging="720" w:start="720" w:end="0"/>
        <w:jc w:val="both"/>
        <w:rPr>
          <w:sz w:val="22"/>
        </w:rPr>
      </w:pPr>
      <w:r>
        <w:rPr>
          <w:sz w:val="22"/>
        </w:rPr>
        <w:tab/>
        <w:t>The swap agreement must be between "eligible swap participants" which include:</w:t>
      </w:r>
    </w:p>
    <w:p>
      <w:pPr>
        <w:pStyle w:val="Normal"/>
        <w:ind w:hanging="720" w:start="1440" w:end="0"/>
        <w:jc w:val="both"/>
        <w:rPr>
          <w:sz w:val="22"/>
        </w:rPr>
      </w:pPr>
      <w:r>
        <w:rPr>
          <w:sz w:val="22"/>
        </w:rPr>
      </w:r>
    </w:p>
    <w:p>
      <w:pPr>
        <w:pStyle w:val="Normal"/>
        <w:numPr>
          <w:ilvl w:val="0"/>
          <w:numId w:val="1"/>
        </w:numPr>
        <w:ind w:hanging="720" w:start="720" w:end="0"/>
        <w:jc w:val="both"/>
        <w:rPr>
          <w:sz w:val="22"/>
        </w:rPr>
      </w:pPr>
      <w:r>
        <w:rPr>
          <w:sz w:val="22"/>
        </w:rPr>
        <w:t>a bank or trust company (acting on its own behalf or on behalf of another eligible swap participant);</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a savings association or credit union;</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an insurance company;</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an investment company subject to regulation under the Investment Company Act of 1940 or a similarly regulated foreign person;</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a commodity pool subject to the Commodity Exchange Act (“CEA”) having assets exceeding $5 million or a similarly regulated foreign person;</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a corporation, partnership, proprietorship, organization, trust or other entity (not formed for the specific purpose of constituting an eligible swap participant) (A) having total assets in excess of $10 million, (B) the obligations of the swap agreement are guaranteed by a letter of credit or other agreement, by an entity referred to in Items 1 – 6 or 8, or (C) which has a net worth of $1 million and enters into the swap agreement in connection with the conduct of its business, or which has a net worth of $1 million and enters into the swap agreement to manage the risk of an asset or liability owned or incurred in the conduct of its business or reasonably likely to be owned or incurred in the conduct of its business;</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employee benefit plans subject to ERISA with total assets exceeding $5 million or whose investment decisions are made by a bank, trust company, insurance company, investment adviser subject to the Investment Advisors Act of 1940, or a commodity trading advisor subject to the CEA;</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any governmental entity (including the United States, any state, or any foreign government) or political subdivision thereof, or any multinational or supranational entity or any instrumentality, agency, or department of any of the foregoing;</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 xml:space="preserve">any broker dealer subject to regulation under the Securities Exchange Act of 1934 or a foreign person performing a similar role or function subject as such to foreign regulation, acting on its own behalf or on behalf of another eligible swap participant:  </w:t>
      </w:r>
      <w:r>
        <w:rPr>
          <w:i/>
          <w:sz w:val="22"/>
        </w:rPr>
        <w:t>provided, however</w:t>
      </w:r>
      <w:r>
        <w:rPr>
          <w:sz w:val="22"/>
        </w:rPr>
        <w:t>, that if such broker-dealer is a natural person or proprietorship, the broker-dealer must also meet the requirements of Item 6 above or Item 11;</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 xml:space="preserve">a futures commission merchant, floor broker, or floor trader subject to the CEA or a foreign person performing a similar function subject as such to foreign regulation acting on its own behalf or on behalf of another eligible swap participant, </w:t>
      </w:r>
      <w:r>
        <w:rPr>
          <w:i/>
          <w:sz w:val="22"/>
        </w:rPr>
        <w:t>provided, however</w:t>
      </w:r>
      <w:r>
        <w:rPr>
          <w:sz w:val="22"/>
        </w:rPr>
        <w:t>,  that if such futures commission merchant, floor broker, or floor trader is a natural person or proprietorship, the futures commission merchant, floor broker, or floor trader must also meet the requirements of Item 6 above or Item 11 below; or</w:t>
      </w:r>
    </w:p>
    <w:p>
      <w:pPr>
        <w:pStyle w:val="Normal"/>
        <w:numPr>
          <w:ilvl w:val="0"/>
          <w:numId w:val="0"/>
        </w:numPr>
        <w:ind w:hanging="720" w:start="720" w:end="0"/>
        <w:jc w:val="both"/>
        <w:rPr>
          <w:sz w:val="22"/>
        </w:rPr>
      </w:pPr>
      <w:r>
        <w:rPr>
          <w:sz w:val="22"/>
        </w:rPr>
      </w:r>
    </w:p>
    <w:p>
      <w:pPr>
        <w:pStyle w:val="Normal"/>
        <w:numPr>
          <w:ilvl w:val="0"/>
          <w:numId w:val="1"/>
        </w:numPr>
        <w:ind w:hanging="720" w:start="720" w:end="0"/>
        <w:jc w:val="both"/>
        <w:rPr>
          <w:sz w:val="22"/>
        </w:rPr>
      </w:pPr>
      <w:r>
        <w:rPr>
          <w:sz w:val="22"/>
        </w:rPr>
        <w:t>a natural person having total assets in excess of $10 million.</w:t>
      </w:r>
    </w:p>
    <w:p>
      <w:pPr>
        <w:pStyle w:val="BodyTextIndent"/>
        <w:tabs>
          <w:tab w:val="left" w:pos="360" w:leader="none"/>
          <w:tab w:val="left" w:pos="1440" w:leader="none"/>
          <w:tab w:val="left" w:pos="1620" w:leader="none"/>
        </w:tabs>
        <w:ind w:hanging="1620" w:start="1620" w:end="0"/>
        <w:rPr>
          <w:sz w:val="22"/>
        </w:rPr>
      </w:pPr>
      <w:r>
        <w:rPr>
          <w:sz w:val="22"/>
        </w:rPr>
      </w:r>
    </w:p>
    <w:p>
      <w:pPr>
        <w:pStyle w:val="Normal"/>
        <w:spacing w:before="0" w:after="240"/>
        <w:jc w:val="both"/>
        <w:rPr>
          <w:sz w:val="22"/>
        </w:rPr>
      </w:pPr>
      <w:r>
        <w:rPr>
          <w:sz w:val="22"/>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ind w:hanging="1440" w:start="1440" w:end="0"/>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1999-05-11T13:17:00Z</dcterms:created>
  <dc:creator>kaye ellis</dc:creator>
  <dc:description/>
  <dc:language>en-CA</dc:language>
  <cp:lastModifiedBy>kaye ellis</cp:lastModifiedBy>
  <cp:lastPrinted>1999-05-11T15:18:00Z</cp:lastPrinted>
  <dcterms:modified xsi:type="dcterms:W3CDTF">1999-05-11T17:49:00Z</dcterms:modified>
  <cp:revision>4</cp:revision>
  <dc:subject/>
  <dc:title>ISO/PX Public Power Trading Opportunities for the California Electricity Market:</dc:title>
</cp:coreProperties>
</file>