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sz w:val="24"/>
        </w:rPr>
      </w:pPr>
      <w:r>
        <w:rPr>
          <w:sz w:val="24"/>
        </w:rPr>
        <w:t>NNG/TW Finance and Accounting</w:t>
      </w:r>
    </w:p>
    <w:p>
      <w:pPr>
        <w:pStyle w:val="Heading2"/>
        <w:ind w:hanging="0" w:start="0"/>
        <w:rPr/>
      </w:pPr>
      <w:r>
        <w:rPr/>
        <w:t>Weekly Update:  11/17/2000</w:t>
      </w:r>
    </w:p>
    <w:p>
      <w:pPr>
        <w:pStyle w:val="Normal"/>
        <w:rPr>
          <w:sz w:val="19"/>
        </w:rPr>
      </w:pPr>
      <w:r>
        <w:rPr>
          <w:sz w:val="19"/>
        </w:rPr>
      </w:r>
    </w:p>
    <w:p>
      <w:pPr>
        <w:pStyle w:val="Normal"/>
        <w:rPr>
          <w:sz w:val="19"/>
        </w:rPr>
      </w:pPr>
      <w:r>
        <w:rPr>
          <w:sz w:val="19"/>
        </w:rPr>
      </w:r>
    </w:p>
    <w:p>
      <w:pPr>
        <w:pStyle w:val="Normal"/>
        <w:numPr>
          <w:ilvl w:val="0"/>
          <w:numId w:val="2"/>
        </w:numPr>
        <w:rPr>
          <w:sz w:val="19"/>
        </w:rPr>
      </w:pPr>
      <w:r>
        <w:rPr>
          <w:b/>
          <w:sz w:val="19"/>
        </w:rPr>
        <w:t>2001-2003 Plan</w:t>
      </w:r>
      <w:r>
        <w:rPr>
          <w:sz w:val="19"/>
        </w:rPr>
        <w:t xml:space="preserve">: There were no changes on TW, and no change to NNG for 2001. Stan requested that NNG 2002 and 2003 be higher than the $175MM by the reduction in SBA fees.  Following are the final Plan IBIT amounts ($MMs):   </w:t>
      </w:r>
      <w:r>
        <w:rPr>
          <w:i/>
          <w:sz w:val="19"/>
        </w:rPr>
        <w:t xml:space="preserve">NNG: </w:t>
      </w:r>
      <w:r>
        <w:rPr>
          <w:sz w:val="19"/>
        </w:rPr>
        <w:t xml:space="preserve">2001 = 175, 2002 = 176.7, 2003 = 184.6; </w:t>
      </w:r>
      <w:r>
        <w:rPr>
          <w:i/>
          <w:sz w:val="19"/>
        </w:rPr>
        <w:t>TW:</w:t>
      </w:r>
      <w:r>
        <w:rPr>
          <w:sz w:val="19"/>
        </w:rPr>
        <w:t xml:space="preserve">  </w:t>
        <w:br/>
        <w:t>2001 = 106, 2002 = 106, 2003 = 225.7</w:t>
        <w:br/>
      </w:r>
    </w:p>
    <w:p>
      <w:pPr>
        <w:pStyle w:val="Normal"/>
        <w:numPr>
          <w:ilvl w:val="0"/>
          <w:numId w:val="2"/>
        </w:numPr>
        <w:rPr>
          <w:sz w:val="19"/>
        </w:rPr>
      </w:pPr>
      <w:r>
        <w:rPr>
          <w:b/>
          <w:sz w:val="19"/>
        </w:rPr>
        <w:t>November 4</w:t>
      </w:r>
      <w:r>
        <w:rPr>
          <w:b/>
          <w:sz w:val="19"/>
          <w:vertAlign w:val="superscript"/>
        </w:rPr>
        <w:t>th</w:t>
      </w:r>
      <w:r>
        <w:rPr>
          <w:b/>
          <w:sz w:val="19"/>
        </w:rPr>
        <w:t xml:space="preserve"> Quarter Forecast:</w:t>
      </w:r>
      <w:r>
        <w:rPr>
          <w:sz w:val="19"/>
        </w:rPr>
        <w:t xml:space="preserve"> NNG IBIT is $245.1MM and TW is $98.8MM for the year. The final (December) forecast will include 11 months actual results.  Please submit any revisions to Planning by December 1.</w:t>
        <w:br/>
      </w:r>
    </w:p>
    <w:p>
      <w:pPr>
        <w:pStyle w:val="Normal"/>
        <w:numPr>
          <w:ilvl w:val="0"/>
          <w:numId w:val="2"/>
        </w:numPr>
        <w:rPr>
          <w:sz w:val="19"/>
        </w:rPr>
      </w:pPr>
      <w:r>
        <w:rPr>
          <w:b/>
          <w:sz w:val="19"/>
        </w:rPr>
        <w:t>Historical Margin Data:</w:t>
      </w:r>
      <w:r>
        <w:rPr>
          <w:sz w:val="19"/>
        </w:rPr>
        <w:t xml:space="preserve"> We are restating margin categories to split margins among regions instead of by commodity and demand.  We are including 2001-2003 Plan data.</w:t>
        <w:br/>
      </w:r>
    </w:p>
    <w:p>
      <w:pPr>
        <w:pStyle w:val="Normal"/>
        <w:numPr>
          <w:ilvl w:val="0"/>
          <w:numId w:val="2"/>
        </w:numPr>
        <w:rPr>
          <w:b/>
          <w:sz w:val="19"/>
        </w:rPr>
      </w:pPr>
      <w:r>
        <w:rPr>
          <w:b/>
          <w:sz w:val="19"/>
        </w:rPr>
        <w:t xml:space="preserve">Gas Purchases: </w:t>
      </w:r>
      <w:r>
        <w:rPr>
          <w:sz w:val="19"/>
        </w:rPr>
        <w:t>Requested copies of underlying contracts for all gas purchases in October, 2000 to assure that we have adequate audit-worthy documentation for payments over $1MM. Two contracts not located yet.</w:t>
        <w:br/>
      </w:r>
    </w:p>
    <w:p>
      <w:pPr>
        <w:pStyle w:val="Normal"/>
        <w:numPr>
          <w:ilvl w:val="0"/>
          <w:numId w:val="2"/>
        </w:numPr>
        <w:rPr>
          <w:sz w:val="19"/>
        </w:rPr>
      </w:pPr>
      <w:r>
        <w:rPr>
          <w:b/>
          <w:sz w:val="19"/>
        </w:rPr>
        <w:t>TransCanada Swaps:</w:t>
      </w:r>
      <w:r>
        <w:rPr>
          <w:sz w:val="19"/>
        </w:rPr>
        <w:t xml:space="preserve"> Resolved AA issues concerning the enforceability of the oral agreement to cancel certain swaps and all put swaptions and enter into the back end swap by obtaining an opinion from Legal.</w:t>
        <w:br/>
        <w:t xml:space="preserve"> </w:t>
      </w:r>
    </w:p>
    <w:p>
      <w:pPr>
        <w:pStyle w:val="Normal"/>
        <w:numPr>
          <w:ilvl w:val="0"/>
          <w:numId w:val="2"/>
        </w:numPr>
        <w:rPr>
          <w:sz w:val="19"/>
        </w:rPr>
      </w:pPr>
      <w:r>
        <w:rPr>
          <w:b/>
          <w:sz w:val="19"/>
        </w:rPr>
        <w:t>Hedge Effectiveness:</w:t>
      </w:r>
      <w:r>
        <w:rPr>
          <w:sz w:val="19"/>
        </w:rPr>
        <w:t xml:space="preserve"> Reevaluating effectiveness measures for TW 2001 hedges. We expect to increase the correlation to 100%, thus lowering our reported Value @ Risk.</w:t>
        <w:br/>
        <w:t xml:space="preserve"> </w:t>
      </w:r>
    </w:p>
    <w:p>
      <w:pPr>
        <w:pStyle w:val="Normal"/>
        <w:numPr>
          <w:ilvl w:val="0"/>
          <w:numId w:val="2"/>
        </w:numPr>
        <w:rPr>
          <w:sz w:val="19"/>
        </w:rPr>
      </w:pPr>
      <w:r>
        <w:rPr>
          <w:b/>
          <w:sz w:val="19"/>
        </w:rPr>
        <w:t>Economic Analysis Highlights:</w:t>
      </w:r>
      <w:r>
        <w:rPr>
          <w:sz w:val="19"/>
        </w:rPr>
        <w:t xml:space="preserve"> </w:t>
      </w:r>
      <w:r>
        <w:rPr>
          <w:sz w:val="19"/>
          <w:u w:val="single"/>
        </w:rPr>
        <w:t>Faribault / Northfield Branchline Sale</w:t>
      </w:r>
      <w:r>
        <w:rPr>
          <w:sz w:val="19"/>
        </w:rPr>
        <w:t xml:space="preserve"> – Completed divestiture authorization and expect to route next week.  Latest estimate is net income from the deal will be $200,000.  Although the NBV of the assets sold is $58K, the proposal is to treat the assets to be sold as a normal retirement, not a sale of an operating unit. </w:t>
      </w:r>
      <w:r>
        <w:rPr>
          <w:sz w:val="19"/>
          <w:u w:val="single"/>
        </w:rPr>
        <w:t>One-Call Screenings</w:t>
      </w:r>
      <w:r>
        <w:rPr>
          <w:sz w:val="19"/>
        </w:rPr>
        <w:t xml:space="preserve"> – Met with task force to evaluate outsourcing one call screenings or developing our own system to provide this service.  Some locations in Florida are already outsourcing. </w:t>
      </w:r>
      <w:r>
        <w:rPr>
          <w:sz w:val="19"/>
          <w:u w:val="single"/>
        </w:rPr>
        <w:t>Depreciation Reserve Study</w:t>
      </w:r>
      <w:r>
        <w:rPr>
          <w:sz w:val="19"/>
        </w:rPr>
        <w:t xml:space="preserve"> – Working with Larry Steward to get the AA study backup tapes transferred to disk.  We had to go back to the vendor for a re-do since the files were initially transferred in a format we could not use. </w:t>
        <w:br/>
      </w:r>
    </w:p>
    <w:p>
      <w:pPr>
        <w:pStyle w:val="Normal"/>
        <w:numPr>
          <w:ilvl w:val="0"/>
          <w:numId w:val="3"/>
        </w:numPr>
        <w:rPr>
          <w:sz w:val="19"/>
          <w:u w:val="single"/>
        </w:rPr>
      </w:pPr>
      <w:r>
        <w:rPr>
          <w:b/>
          <w:sz w:val="19"/>
        </w:rPr>
        <w:t>Property Completion Report Package:</w:t>
      </w:r>
      <w:r>
        <w:rPr>
          <w:sz w:val="19"/>
        </w:rPr>
        <w:t xml:space="preserve"> The one page project in service form that is faxed in to Property Accounting from the field is being redesigned to avoid confusion. Because the completion report package contains a similar form, some field personnel thought they didn’t have to submit other required documents such as material lists.</w:t>
        <w:br/>
      </w:r>
    </w:p>
    <w:p>
      <w:pPr>
        <w:pStyle w:val="Normal"/>
        <w:numPr>
          <w:ilvl w:val="0"/>
          <w:numId w:val="3"/>
        </w:numPr>
        <w:rPr>
          <w:sz w:val="19"/>
          <w:u w:val="single"/>
        </w:rPr>
      </w:pPr>
      <w:r>
        <w:rPr>
          <w:b/>
          <w:sz w:val="19"/>
        </w:rPr>
        <w:t>Kansas Ad Valorem Tax Refunds Settlement:</w:t>
      </w:r>
      <w:r>
        <w:rPr>
          <w:sz w:val="19"/>
        </w:rPr>
        <w:t xml:space="preserve">  Facilitated the establishment of a temporary separate bank account at Bank of America to receive settlement wires from producers on December 1.  95% of the refunds must by received by December 1 to finalize the settlement.</w:t>
        <w:br/>
      </w:r>
    </w:p>
    <w:p>
      <w:pPr>
        <w:pStyle w:val="Normal"/>
        <w:numPr>
          <w:ilvl w:val="0"/>
          <w:numId w:val="3"/>
        </w:numPr>
        <w:rPr>
          <w:sz w:val="19"/>
          <w:u w:val="single"/>
        </w:rPr>
      </w:pPr>
      <w:r>
        <w:rPr>
          <w:b/>
          <w:sz w:val="19"/>
        </w:rPr>
        <w:t>General Accounting</w:t>
      </w:r>
      <w:r>
        <w:rPr>
          <w:sz w:val="19"/>
        </w:rPr>
        <w:t>: Allison Millan gave birth to Sarah on November 8.  Mother and baby doing well.  Allison plans to return after year end.</w:t>
        <w:br/>
      </w:r>
    </w:p>
    <w:p>
      <w:pPr>
        <w:pStyle w:val="Normal"/>
        <w:numPr>
          <w:ilvl w:val="0"/>
          <w:numId w:val="3"/>
        </w:numPr>
        <w:rPr>
          <w:sz w:val="19"/>
          <w:u w:val="single"/>
        </w:rPr>
      </w:pPr>
      <w:r>
        <w:rPr>
          <w:b/>
          <w:sz w:val="19"/>
        </w:rPr>
        <w:t>SAP FERC Module</w:t>
      </w:r>
      <w:r>
        <w:rPr>
          <w:sz w:val="19"/>
        </w:rPr>
        <w:t>: A plan is in place to begin analyzing the clearing account problem (why the clearing accounts are not zeroing out) to determine whether it is a system problem or a process problem. A focused effort will begin Tuesday.</w:t>
        <w:br/>
      </w:r>
    </w:p>
    <w:p>
      <w:pPr>
        <w:pStyle w:val="Normal"/>
        <w:numPr>
          <w:ilvl w:val="0"/>
          <w:numId w:val="3"/>
        </w:numPr>
        <w:rPr>
          <w:sz w:val="19"/>
          <w:u w:val="single"/>
        </w:rPr>
      </w:pPr>
      <w:r>
        <w:rPr>
          <w:b/>
          <w:sz w:val="19"/>
        </w:rPr>
        <w:t>Reporting and Process Review Leveraging</w:t>
      </w:r>
      <w:r>
        <w:rPr>
          <w:sz w:val="19"/>
        </w:rPr>
        <w:t xml:space="preserve">: Accounting &amp; Reporting participated in an interview with this Corporate task force team to identify opportunities to improve reporting capabilities (mainly from SAP) and improve accounting processes.  </w:t>
        <w:br/>
      </w:r>
    </w:p>
    <w:p>
      <w:pPr>
        <w:pStyle w:val="Normal"/>
        <w:numPr>
          <w:ilvl w:val="0"/>
          <w:numId w:val="3"/>
        </w:numPr>
        <w:rPr>
          <w:sz w:val="19"/>
          <w:u w:val="single"/>
        </w:rPr>
      </w:pPr>
      <w:r>
        <w:rPr>
          <w:b/>
          <w:sz w:val="19"/>
        </w:rPr>
        <w:t>PEP</w:t>
      </w:r>
      <w:r>
        <w:rPr>
          <w:sz w:val="19"/>
        </w:rPr>
        <w:t>: We have all been focusing on providing feedback reports this week.</w:t>
      </w:r>
    </w:p>
    <w:p>
      <w:pPr>
        <w:pStyle w:val="Normal"/>
        <w:ind w:start="360" w:end="0"/>
        <w:rPr>
          <w:sz w:val="19"/>
          <w:u w:val="single"/>
        </w:rPr>
      </w:pPr>
      <w:r>
        <w:rPr>
          <w:sz w:val="19"/>
          <w:u w:val="single"/>
        </w:rPr>
      </w:r>
    </w:p>
    <w:sectPr>
      <w:type w:val="nextPage"/>
      <w:pgSz w:w="12240" w:h="15840"/>
      <w:pgMar w:left="1800" w:right="1800" w:gutter="0" w:header="0" w:top="864"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Symbol" w:hAnsi="Symbol" w:cs="Symbol"/>
      <w:color w:val="auto"/>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Symbol" w:hAnsi="Symbol" w:cs="Symbol"/>
      <w:color w:val="auto"/>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2000-11-17T16:48:00Z</dcterms:created>
  <dc:creator>ET&amp;S</dc:creator>
  <dc:description/>
  <dc:language>en-CA</dc:language>
  <cp:lastModifiedBy>ET&amp;S</cp:lastModifiedBy>
  <cp:lastPrinted>2000-11-17T14:49:00Z</cp:lastPrinted>
  <dcterms:modified xsi:type="dcterms:W3CDTF">2000-11-17T18:22:00Z</dcterms:modified>
  <cp:revision>15</cp:revision>
  <dc:subject/>
  <dc:title>Finance and Accounting Update – 02/18/2000</dc:title>
</cp:coreProperties>
</file>