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Unicode MS" w:hAnsi="Arial Unicode MS" w:cs="Arial Unicode MS"/>
          <w:b/>
          <w:bCs/>
          <w:szCs w:val="22"/>
          <w:u w:val="single"/>
        </w:rPr>
      </w:pPr>
      <w:r>
        <w:rPr>
          <w:rFonts w:cs="Arial Unicode MS" w:ascii="Arial Unicode MS" w:hAnsi="Arial Unicode MS"/>
          <w:b/>
          <w:bCs/>
          <w:szCs w:val="22"/>
          <w:u w:val="single"/>
        </w:rPr>
      </w:r>
    </w:p>
    <w:p>
      <w:pPr>
        <w:pStyle w:val="Heading1"/>
        <w:ind w:hanging="0" w:start="0"/>
        <w:rPr>
          <w:rFonts w:ascii="Arial Unicode MS" w:hAnsi="Arial Unicode MS" w:cs="Arial Unicode MS"/>
          <w:b/>
          <w:bCs/>
          <w:szCs w:val="22"/>
          <w:u w:val="single"/>
        </w:rPr>
      </w:pPr>
      <w:r>
        <w:rPr>
          <w:rFonts w:cs="Arial Unicode MS" w:ascii="Arial Unicode MS" w:hAnsi="Arial Unicode MS"/>
          <w:b/>
          <w:bCs/>
          <w:szCs w:val="22"/>
          <w:u w:val="single"/>
        </w:rPr>
        <w:t>Trans Pecos Project</w:t>
      </w:r>
    </w:p>
    <w:p>
      <w:pPr>
        <w:pStyle w:val="Normal"/>
        <w:numPr>
          <w:ilvl w:val="0"/>
          <w:numId w:val="3"/>
        </w:numPr>
        <w:autoSpaceDE w:val="false"/>
        <w:ind w:hanging="380" w:start="740" w:end="0"/>
        <w:rPr>
          <w:rFonts w:ascii="Arial Unicode MS" w:hAnsi="Arial Unicode MS" w:cs="Arial Unicode MS"/>
          <w:szCs w:val="22"/>
        </w:rPr>
      </w:pPr>
      <w:r>
        <w:rPr>
          <w:rFonts w:cs="Arial Unicode MS" w:ascii="Arial Unicode MS" w:hAnsi="Arial Unicode MS"/>
          <w:szCs w:val="22"/>
        </w:rPr>
        <w:t>TW provided comments to Kinder Morgan for the Pemex/MGI proposal and Letter Agreement between TW and KMI.  Kinder Morgan was not agreeable to many of our comments.  TW and Kinder Morgan are preparing to meet this afternoon to go over a few remaining comments on the letter agreement.  TW is agreeing to allow KMI to construct and operate the Trans Pecos Project.</w:t>
      </w:r>
    </w:p>
    <w:p>
      <w:pPr>
        <w:pStyle w:val="Normal"/>
        <w:autoSpaceDE w:val="false"/>
        <w:ind w:start="360" w:end="0"/>
        <w:rPr>
          <w:rFonts w:ascii="Arial Unicode MS" w:hAnsi="Arial Unicode MS" w:cs="Arial Unicode MS"/>
          <w:szCs w:val="22"/>
        </w:rPr>
      </w:pPr>
      <w:r>
        <w:rPr>
          <w:rFonts w:cs="Arial Unicode MS" w:ascii="Arial Unicode MS" w:hAnsi="Arial Unicode MS"/>
          <w:szCs w:val="22"/>
        </w:rPr>
      </w:r>
    </w:p>
    <w:p>
      <w:pPr>
        <w:pStyle w:val="Heading1"/>
        <w:ind w:hanging="0" w:start="0"/>
        <w:rPr>
          <w:rFonts w:ascii="Arial Unicode MS" w:hAnsi="Arial Unicode MS" w:cs="Arial Unicode MS"/>
          <w:b/>
          <w:bCs/>
          <w:szCs w:val="22"/>
          <w:u w:val="single"/>
        </w:rPr>
      </w:pPr>
      <w:r>
        <w:rPr>
          <w:rFonts w:cs="Arial Unicode MS" w:ascii="Arial Unicode MS" w:hAnsi="Arial Unicode MS"/>
          <w:b/>
          <w:bCs/>
          <w:szCs w:val="22"/>
          <w:u w:val="single"/>
        </w:rPr>
        <w:t>Operational Gas Sales</w:t>
      </w:r>
    </w:p>
    <w:p>
      <w:pPr>
        <w:pStyle w:val="Normal"/>
        <w:numPr>
          <w:ilvl w:val="0"/>
          <w:numId w:val="2"/>
        </w:numPr>
        <w:rPr/>
      </w:pPr>
      <w:r>
        <w:rPr>
          <w:rFonts w:eastAsia="Arial Unicode MS" w:cs="Arial Unicode MS" w:ascii="Arial Unicode MS" w:hAnsi="Arial Unicode MS"/>
        </w:rPr>
        <w:t xml:space="preserve">TW sold physical 229,023 MMBtu of operational gas to Astra Power this week at an average price $3.197.  </w:t>
      </w:r>
    </w:p>
    <w:p>
      <w:pPr>
        <w:pStyle w:val="Normal"/>
        <w:ind w:start="360" w:end="0"/>
        <w:rPr/>
      </w:pPr>
      <w:r>
        <w:rPr/>
      </w:r>
    </w:p>
    <w:p>
      <w:pPr>
        <w:pStyle w:val="Heading1"/>
        <w:ind w:hanging="0" w:start="0"/>
        <w:rPr>
          <w:rFonts w:ascii="Arial Unicode MS" w:hAnsi="Arial Unicode MS" w:cs="Arial Unicode MS"/>
          <w:b/>
          <w:bCs/>
          <w:szCs w:val="22"/>
          <w:u w:val="single"/>
        </w:rPr>
      </w:pPr>
      <w:r>
        <w:rPr>
          <w:rFonts w:cs="Arial Unicode MS" w:ascii="Arial Unicode MS" w:hAnsi="Arial Unicode MS"/>
          <w:b/>
          <w:bCs/>
          <w:szCs w:val="22"/>
          <w:u w:val="single"/>
        </w:rPr>
        <w:t>Operational Balancing Agreements</w:t>
      </w:r>
    </w:p>
    <w:p>
      <w:pPr>
        <w:pStyle w:val="Normal"/>
        <w:numPr>
          <w:ilvl w:val="0"/>
          <w:numId w:val="2"/>
        </w:numPr>
        <w:rPr>
          <w:rFonts w:ascii="Arial Unicode MS" w:hAnsi="Arial Unicode MS" w:eastAsia="Arial Unicode MS" w:cs="Arial Unicode MS"/>
        </w:rPr>
      </w:pPr>
      <w:r>
        <w:rPr>
          <w:rFonts w:eastAsia="Arial Unicode MS" w:cs="Arial Unicode MS" w:ascii="Arial Unicode MS" w:hAnsi="Arial Unicode MS"/>
        </w:rPr>
        <w:t>New dollar-valued OBA, containing monthly cash out provision, with Burlington is executed.</w:t>
      </w:r>
    </w:p>
    <w:p>
      <w:pPr>
        <w:pStyle w:val="Normal"/>
        <w:numPr>
          <w:ilvl w:val="0"/>
          <w:numId w:val="2"/>
        </w:numPr>
        <w:rPr>
          <w:rFonts w:ascii="Arial Unicode MS" w:hAnsi="Arial Unicode MS" w:eastAsia="Arial Unicode MS" w:cs="Arial Unicode MS"/>
        </w:rPr>
      </w:pPr>
      <w:r>
        <w:rPr>
          <w:rFonts w:eastAsia="Arial Unicode MS" w:cs="Arial Unicode MS" w:ascii="Arial Unicode MS" w:hAnsi="Arial Unicode MS"/>
        </w:rPr>
        <w:t>New volumetric OBA with Lone Star is executed.  Lone Star will not agree to a dollar value provision.  Operations and Marketing will monitor this OBA closely to manage the dollar value risk of any imbalance.</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ind w:start="720" w:end="0"/>
        <w:rPr/>
      </w:pPr>
      <w:r>
        <w:rPr/>
      </w:r>
    </w:p>
    <w:p>
      <w:pPr>
        <w:pStyle w:val="Heading1"/>
        <w:ind w:hanging="0" w:start="0"/>
        <w:rPr>
          <w:rFonts w:ascii="Arial Unicode MS" w:hAnsi="Arial Unicode MS" w:cs="Arial Unicode MS"/>
          <w:b/>
          <w:bCs/>
          <w:szCs w:val="22"/>
          <w:u w:val="single"/>
        </w:rPr>
      </w:pPr>
      <w:r>
        <w:rPr>
          <w:rFonts w:cs="Arial Unicode MS" w:ascii="Arial Unicode MS" w:hAnsi="Arial Unicode MS"/>
          <w:b/>
          <w:bCs/>
          <w:szCs w:val="22"/>
          <w:u w:val="single"/>
        </w:rPr>
        <w:t>Current Week Daily Activity</w:t>
      </w:r>
    </w:p>
    <w:p>
      <w:pPr>
        <w:pStyle w:val="Normal"/>
        <w:numPr>
          <w:ilvl w:val="0"/>
          <w:numId w:val="3"/>
        </w:numPr>
        <w:autoSpaceDE w:val="false"/>
        <w:ind w:hanging="380" w:start="740" w:end="0"/>
        <w:rPr>
          <w:rFonts w:ascii="Arial Unicode MS" w:hAnsi="Arial Unicode MS" w:cs="Arial Unicode MS"/>
          <w:szCs w:val="22"/>
        </w:rPr>
      </w:pPr>
      <w:r>
        <w:rPr>
          <w:rFonts w:cs="Arial Unicode MS" w:ascii="Arial Unicode MS" w:hAnsi="Arial Unicode MS"/>
          <w:szCs w:val="22"/>
        </w:rPr>
        <w:t>The average throughput West this week increased to 884,000 MMBtu/d from 815,000 MMBtu/d.</w:t>
      </w:r>
    </w:p>
    <w:p>
      <w:pPr>
        <w:pStyle w:val="Normal"/>
        <w:numPr>
          <w:ilvl w:val="0"/>
          <w:numId w:val="3"/>
        </w:numPr>
        <w:autoSpaceDE w:val="false"/>
        <w:ind w:hanging="380" w:start="740" w:end="0"/>
        <w:rPr>
          <w:rFonts w:ascii="Arial Unicode MS" w:hAnsi="Arial Unicode MS" w:cs="Arial Unicode MS"/>
          <w:szCs w:val="22"/>
        </w:rPr>
      </w:pPr>
      <w:r>
        <w:rPr>
          <w:rFonts w:cs="Arial Unicode MS" w:ascii="Arial Unicode MS" w:hAnsi="Arial Unicode MS"/>
          <w:szCs w:val="22"/>
        </w:rPr>
        <w:t xml:space="preserve">The average throughput East this week decreased to 391,000 MMBtu/d from 596,000 MMBtu/d. </w:t>
      </w:r>
    </w:p>
    <w:p>
      <w:pPr>
        <w:pStyle w:val="Normal"/>
        <w:numPr>
          <w:ilvl w:val="0"/>
          <w:numId w:val="3"/>
        </w:numPr>
        <w:autoSpaceDE w:val="false"/>
        <w:ind w:hanging="380" w:start="740" w:end="0"/>
        <w:rPr>
          <w:rFonts w:ascii="Arial Unicode MS" w:hAnsi="Arial Unicode MS" w:cs="Arial Unicode MS"/>
          <w:szCs w:val="24"/>
        </w:rPr>
      </w:pPr>
      <w:r>
        <w:rPr>
          <w:rFonts w:cs="Arial Unicode MS" w:ascii="Arial Unicode MS" w:hAnsi="Arial Unicode MS"/>
          <w:szCs w:val="24"/>
        </w:rPr>
        <w:t>Finalized OBA reconciliations with Mojave Pipeline.  Mojave has agreed to pay back physically 10,000 MMBtu/day for the remainder of March with a cash out of any remaining imbalance at the March Bloomberg index.  The physical gas is being sold on a daily basis and has already generated an additional $72,700.</w:t>
      </w:r>
    </w:p>
    <w:p>
      <w:pPr>
        <w:pStyle w:val="Normal"/>
        <w:autoSpaceDE w:val="false"/>
        <w:rPr>
          <w:rFonts w:ascii="Comic Sans MS" w:hAnsi="Comic Sans MS" w:cs="Comic Sans MS"/>
          <w:color w:val="000080"/>
          <w:sz w:val="24"/>
          <w:szCs w:val="24"/>
        </w:rPr>
      </w:pPr>
      <w:r>
        <w:rPr>
          <w:rFonts w:cs="Comic Sans MS" w:ascii="Comic Sans MS" w:hAnsi="Comic Sans MS"/>
          <w:color w:val="000080"/>
          <w:sz w:val="24"/>
          <w:szCs w:val="24"/>
        </w:rPr>
      </w:r>
    </w:p>
    <w:sectPr>
      <w:headerReference w:type="default" r:id="rId2"/>
      <w:type w:val="nextPage"/>
      <w:pgSz w:w="12240" w:h="15840"/>
      <w:pgMar w:left="1584" w:right="1584" w:gutter="0" w:header="72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mic Sans MS">
    <w:charset w:val="00" w:characterSet="windows-1252"/>
    <w:family w:val="script"/>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thinThickMediumGap" w:sz="24" w:space="1" w:color="000000" w:shadow="1"/>
        <w:left w:val="thinThickMediumGap" w:sz="24" w:space="4" w:color="000000" w:shadow="1"/>
        <w:bottom w:val="thinThickMediumGap" w:sz="24" w:space="1" w:color="000000" w:shadow="1"/>
        <w:right w:val="thinThickMediumGap" w:sz="24" w:space="4" w:color="000000" w:shadow="1"/>
      </w:pBdr>
      <w:rPr/>
    </w:pPr>
    <w:r>
      <w:rPr/>
      <w:tab/>
      <w:t xml:space="preserve">         </w:t>
    </w:r>
    <w:r>
      <w:rPr/>
      <w:drawing>
        <wp:inline distT="0" distB="0" distL="0" distR="0">
          <wp:extent cx="502285" cy="4762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502285" cy="476250"/>
                  </a:xfrm>
                  <a:prstGeom prst="rect">
                    <a:avLst/>
                  </a:prstGeom>
                  <a:noFill/>
                </pic:spPr>
              </pic:pic>
            </a:graphicData>
          </a:graphic>
        </wp:inline>
      </w:drawing>
    </w:r>
    <w:r>
      <w:rPr/>
      <w:t xml:space="preserve">                                                       </w:t>
    </w:r>
    <w:r>
      <w:rPr>
        <w:b/>
        <w:sz w:val="32"/>
      </w:rPr>
      <w:t>Transwestern Commercial Group</w:t>
    </w:r>
  </w:p>
  <w:p>
    <w:pPr>
      <w:pStyle w:val="Header"/>
      <w:pBdr>
        <w:top w:val="thinThickMediumGap" w:sz="24" w:space="1" w:color="000000" w:shadow="1"/>
        <w:left w:val="thinThickMediumGap" w:sz="24" w:space="4" w:color="000000" w:shadow="1"/>
        <w:bottom w:val="thinThickMediumGap" w:sz="24" w:space="1" w:color="000000" w:shadow="1"/>
        <w:right w:val="thinThickMediumGap" w:sz="24" w:space="4" w:color="000000" w:shadow="1"/>
      </w:pBdr>
      <w:rPr/>
    </w:pPr>
    <w:r>
      <w:rPr>
        <w:b/>
        <w:sz w:val="22"/>
      </w:rPr>
      <w:t>Enron Transportation Services</w:t>
    </w:r>
    <w:r>
      <w:rPr>
        <w:b/>
        <w:sz w:val="32"/>
      </w:rPr>
      <w:tab/>
      <w:tab/>
      <w:t>Weekly Bullets</w:t>
    </w:r>
  </w:p>
  <w:p>
    <w:pPr>
      <w:pStyle w:val="Header"/>
      <w:pBdr>
        <w:top w:val="thinThickMediumGap" w:sz="24" w:space="1" w:color="000000" w:shadow="1"/>
        <w:left w:val="thinThickMediumGap" w:sz="24" w:space="4" w:color="000000" w:shadow="1"/>
        <w:bottom w:val="thinThickMediumGap" w:sz="24" w:space="1" w:color="000000" w:shadow="1"/>
        <w:right w:val="thinThickMediumGap" w:sz="24" w:space="4" w:color="000000" w:shadow="1"/>
      </w:pBdr>
      <w:rPr/>
    </w:pPr>
    <w:r>
      <w:rPr>
        <w:b/>
        <w:sz w:val="32"/>
      </w:rPr>
      <w:tab/>
      <w:tab/>
    </w:r>
    <w:r>
      <w:rPr>
        <w:b/>
        <w:sz w:val="32"/>
      </w:rPr>
      <w:fldChar w:fldCharType="begin"/>
    </w:r>
    <w:r>
      <w:rPr>
        <w:sz w:val="32"/>
        <w:b/>
      </w:rPr>
      <w:instrText xml:space="preserve"> DATE \@"MM\/dd\/yy" </w:instrText>
    </w:r>
    <w:r>
      <w:rPr>
        <w:sz w:val="32"/>
        <w:b/>
      </w:rPr>
      <w:fldChar w:fldCharType="separate"/>
    </w:r>
    <w:r>
      <w:rPr>
        <w:sz w:val="32"/>
        <w:b/>
      </w:rPr>
      <w:t>09/28/25</w:t>
    </w:r>
    <w:r>
      <w:rPr>
        <w:sz w:val="32"/>
        <w:b/>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autoSpaceDE w:val="false"/>
      <w:outlineLvl w:val="0"/>
    </w:pPr>
    <w:rPr>
      <w:rFonts w:eastAsia="Arial Unicode MS"/>
      <w:szCs w:val="24"/>
    </w:rPr>
  </w:style>
  <w:style w:type="paragraph" w:styleId="Heading2">
    <w:name w:val="heading 2"/>
    <w:basedOn w:val="Normal"/>
    <w:next w:val="Normal"/>
    <w:qFormat/>
    <w:pPr>
      <w:keepNext w:val="true"/>
      <w:numPr>
        <w:ilvl w:val="1"/>
        <w:numId w:val="1"/>
      </w:numPr>
      <w:outlineLvl w:val="1"/>
    </w:pPr>
    <w:rPr>
      <w:b/>
      <w:bCs/>
      <w:sz w:val="24"/>
      <w:szCs w:val="24"/>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St2z0">
    <w:name w:val="WW8NumSt2z0"/>
    <w:qFormat/>
    <w:rPr>
      <w:rFonts w:ascii="Symbol" w:hAnsi="Symbol" w:cs="Symbol"/>
    </w:rPr>
  </w:style>
  <w:style w:type="character" w:styleId="WW8NumSt2z1">
    <w:name w:val="WW8NumSt2z1"/>
    <w:qFormat/>
    <w:rPr>
      <w:rFonts w:ascii="Courier New" w:hAnsi="Courier New" w:cs="Courier New"/>
    </w:rPr>
  </w:style>
  <w:style w:type="character" w:styleId="WW8NumSt2z2">
    <w:name w:val="WW8NumSt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eastAsia="Arial Unicode MS"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pPr>
    <w:rPr>
      <w:rFonts w:ascii="Arial" w:hAnsi="Arial" w:cs="Arial"/>
      <w:color w:val="0000F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2002-03-22T14:56:00Z</dcterms:created>
  <dc:creator>Enron</dc:creator>
  <dc:description/>
  <dc:language>en-CA</dc:language>
  <cp:lastModifiedBy>kwatson</cp:lastModifiedBy>
  <cp:lastPrinted>2002-03-01T13:42:00Z</cp:lastPrinted>
  <dcterms:modified xsi:type="dcterms:W3CDTF">2002-03-22T14:57:00Z</dcterms:modified>
  <cp:revision>3</cp:revision>
  <dc:subject/>
  <dc:title>BULLETS 02-01-02</dc:title>
</cp:coreProperties>
</file>