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Garamond" w:hAnsi="Garamond" w:cs="Arial"/>
          <w:i/>
          <w:i/>
          <w:iCs/>
          <w:sz w:val="32"/>
        </w:rPr>
      </w:pPr>
      <w:r>
        <w:rPr>
          <w:rFonts w:cs="Arial" w:ascii="Garamond" w:hAnsi="Garamond"/>
          <w:i/>
          <w:iCs/>
          <w:sz w:val="32"/>
        </w:rPr>
        <w:t>ETS</w:t>
      </w:r>
    </w:p>
    <w:p>
      <w:pPr>
        <w:pStyle w:val="Heading"/>
        <w:rPr>
          <w:rFonts w:ascii="Garamond" w:hAnsi="Garamond" w:cs="Arial"/>
          <w:sz w:val="28"/>
        </w:rPr>
      </w:pPr>
      <w:r>
        <w:rPr>
          <w:rFonts w:cs="Arial" w:ascii="Garamond" w:hAnsi="Garamond"/>
          <w:sz w:val="28"/>
        </w:rPr>
        <w:t>Gas Logistics</w:t>
      </w:r>
    </w:p>
    <w:p>
      <w:pPr>
        <w:pStyle w:val="Normal"/>
        <w:jc w:val="center"/>
        <w:rPr>
          <w:rFonts w:ascii="Garamond" w:hAnsi="Garamond" w:cs="Arial"/>
          <w:b/>
          <w:sz w:val="28"/>
        </w:rPr>
      </w:pPr>
      <w:r>
        <w:rPr>
          <w:rFonts w:cs="Arial" w:ascii="Garamond" w:hAnsi="Garamond"/>
          <w:b/>
          <w:sz w:val="28"/>
        </w:rPr>
      </w:r>
    </w:p>
    <w:p>
      <w:pPr>
        <w:pStyle w:val="Normal"/>
        <w:jc w:val="center"/>
        <w:rPr>
          <w:rFonts w:ascii="Garamond" w:hAnsi="Garamond" w:cs="Arial"/>
          <w:bCs/>
          <w:i/>
          <w:i/>
          <w:iCs/>
          <w:sz w:val="28"/>
        </w:rPr>
      </w:pPr>
      <w:r>
        <w:rPr>
          <w:rFonts w:cs="Arial" w:ascii="Garamond" w:hAnsi="Garamond"/>
          <w:bCs/>
          <w:i/>
          <w:iCs/>
          <w:sz w:val="28"/>
        </w:rPr>
        <w:t>July 2 through July 6</w:t>
      </w:r>
    </w:p>
    <w:p>
      <w:pPr>
        <w:pStyle w:val="Normal"/>
        <w:jc w:val="center"/>
        <w:rPr>
          <w:rFonts w:ascii="Garamond" w:hAnsi="Garamond" w:cs="Arial"/>
          <w:b/>
          <w:bCs/>
          <w:i/>
          <w:i/>
          <w:iCs/>
          <w:sz w:val="28"/>
        </w:rPr>
      </w:pPr>
      <w:r>
        <w:rPr>
          <w:rFonts w:cs="Arial" w:ascii="Garamond" w:hAnsi="Garamond"/>
          <w:b/>
          <w:bCs/>
          <w:i/>
          <w:iCs/>
          <w:sz w:val="28"/>
        </w:rPr>
      </w:r>
    </w:p>
    <w:tbl>
      <w:tblPr>
        <w:tblW w:w="8640" w:type="dxa"/>
        <w:jc w:val="start"/>
        <w:tblInd w:w="468" w:type="dxa"/>
        <w:tblLayout w:type="fixed"/>
        <w:tblCellMar>
          <w:top w:w="0" w:type="dxa"/>
          <w:start w:w="108" w:type="dxa"/>
          <w:bottom w:w="0" w:type="dxa"/>
          <w:end w:w="108" w:type="dxa"/>
        </w:tblCellMar>
      </w:tblPr>
      <w:tblGrid>
        <w:gridCol w:w="2160"/>
        <w:gridCol w:w="1170"/>
        <w:gridCol w:w="1260"/>
        <w:gridCol w:w="1440"/>
        <w:gridCol w:w="1260"/>
        <w:gridCol w:w="1350"/>
      </w:tblGrid>
      <w:tr>
        <w:trPr/>
        <w:tc>
          <w:tcPr>
            <w:tcW w:w="2160" w:type="dxa"/>
            <w:tcBorders>
              <w:top w:val="single" w:sz="4" w:space="0" w:color="000000"/>
              <w:start w:val="single" w:sz="4" w:space="0" w:color="000000"/>
              <w:bottom w:val="single" w:sz="4" w:space="0" w:color="000000"/>
            </w:tcBorders>
            <w:shd w:fill="D9D9D9" w:val="clear"/>
          </w:tcPr>
          <w:p>
            <w:pPr>
              <w:pStyle w:val="Normal"/>
              <w:spacing w:before="60" w:after="0"/>
              <w:jc w:val="center"/>
              <w:rPr>
                <w:rFonts w:ascii="Garamond" w:hAnsi="Garamond" w:cs="Arial"/>
                <w:b/>
                <w:sz w:val="24"/>
              </w:rPr>
            </w:pPr>
            <w:r>
              <w:rPr>
                <w:rFonts w:cs="Arial" w:ascii="Garamond" w:hAnsi="Garamond"/>
                <w:b/>
                <w:sz w:val="24"/>
              </w:rPr>
              <w:t>Name</w:t>
            </w:r>
          </w:p>
          <w:p>
            <w:pPr>
              <w:pStyle w:val="Normal"/>
              <w:spacing w:before="60" w:after="0"/>
              <w:jc w:val="center"/>
              <w:rPr>
                <w:rFonts w:ascii="Garamond" w:hAnsi="Garamond" w:cs="Arial"/>
                <w:b/>
                <w:sz w:val="24"/>
              </w:rPr>
            </w:pPr>
            <w:r>
              <w:rPr>
                <w:rFonts w:cs="Arial" w:ascii="Garamond" w:hAnsi="Garamond"/>
                <w:b/>
                <w:sz w:val="24"/>
              </w:rPr>
            </w:r>
          </w:p>
        </w:tc>
        <w:tc>
          <w:tcPr>
            <w:tcW w:w="1170" w:type="dxa"/>
            <w:tcBorders>
              <w:top w:val="single" w:sz="4" w:space="0" w:color="000000"/>
              <w:bottom w:val="single" w:sz="4" w:space="0" w:color="000000"/>
            </w:tcBorders>
            <w:shd w:fill="D9D9D9" w:val="clear"/>
          </w:tcPr>
          <w:p>
            <w:pPr>
              <w:pStyle w:val="Heading2"/>
              <w:spacing w:before="60" w:after="0"/>
              <w:ind w:hanging="0" w:start="0"/>
              <w:jc w:val="center"/>
              <w:rPr>
                <w:rFonts w:ascii="Garamond" w:hAnsi="Garamond" w:cs="Arial"/>
              </w:rPr>
            </w:pPr>
            <w:r>
              <w:rPr>
                <w:rFonts w:cs="Arial" w:ascii="Garamond" w:hAnsi="Garamond"/>
              </w:rPr>
              <w:t>Monday</w:t>
            </w:r>
          </w:p>
          <w:p>
            <w:pPr>
              <w:pStyle w:val="Normal"/>
              <w:spacing w:before="60" w:after="0"/>
              <w:jc w:val="center"/>
              <w:rPr>
                <w:rFonts w:ascii="Garamond" w:hAnsi="Garamond" w:cs="Arial"/>
                <w:b/>
                <w:sz w:val="24"/>
              </w:rPr>
            </w:pPr>
            <w:r>
              <w:rPr>
                <w:rFonts w:cs="Arial" w:ascii="Garamond" w:hAnsi="Garamond"/>
                <w:b/>
                <w:sz w:val="24"/>
              </w:rPr>
              <w:t>(7/9)</w:t>
            </w:r>
          </w:p>
        </w:tc>
        <w:tc>
          <w:tcPr>
            <w:tcW w:w="1260" w:type="dxa"/>
            <w:tcBorders>
              <w:top w:val="single" w:sz="4" w:space="0" w:color="000000"/>
              <w:bottom w:val="single" w:sz="4" w:space="0" w:color="000000"/>
            </w:tcBorders>
            <w:shd w:fill="D9D9D9" w:val="clear"/>
          </w:tcPr>
          <w:p>
            <w:pPr>
              <w:pStyle w:val="Normal"/>
              <w:spacing w:before="60" w:after="0"/>
              <w:jc w:val="center"/>
              <w:rPr>
                <w:rFonts w:ascii="Garamond" w:hAnsi="Garamond" w:cs="Arial"/>
                <w:b/>
                <w:sz w:val="24"/>
              </w:rPr>
            </w:pPr>
            <w:r>
              <w:rPr>
                <w:rFonts w:cs="Arial" w:ascii="Garamond" w:hAnsi="Garamond"/>
                <w:b/>
                <w:sz w:val="24"/>
              </w:rPr>
              <w:t>Tuesday</w:t>
            </w:r>
          </w:p>
          <w:p>
            <w:pPr>
              <w:pStyle w:val="Normal"/>
              <w:spacing w:before="60" w:after="0"/>
              <w:jc w:val="center"/>
              <w:rPr>
                <w:rFonts w:ascii="Garamond" w:hAnsi="Garamond" w:cs="Arial"/>
                <w:b/>
                <w:sz w:val="24"/>
              </w:rPr>
            </w:pPr>
            <w:r>
              <w:rPr>
                <w:rFonts w:cs="Arial" w:ascii="Garamond" w:hAnsi="Garamond"/>
                <w:b/>
                <w:sz w:val="24"/>
              </w:rPr>
              <w:t>(7/10)</w:t>
            </w:r>
          </w:p>
        </w:tc>
        <w:tc>
          <w:tcPr>
            <w:tcW w:w="1440" w:type="dxa"/>
            <w:tcBorders>
              <w:top w:val="single" w:sz="4" w:space="0" w:color="000000"/>
              <w:bottom w:val="single" w:sz="4" w:space="0" w:color="000000"/>
            </w:tcBorders>
            <w:shd w:fill="D9D9D9" w:val="clear"/>
          </w:tcPr>
          <w:p>
            <w:pPr>
              <w:pStyle w:val="Normal"/>
              <w:spacing w:before="60" w:after="0"/>
              <w:jc w:val="center"/>
              <w:rPr>
                <w:rFonts w:ascii="Garamond" w:hAnsi="Garamond" w:cs="Arial"/>
                <w:b/>
                <w:sz w:val="24"/>
              </w:rPr>
            </w:pPr>
            <w:r>
              <w:rPr>
                <w:rFonts w:cs="Arial" w:ascii="Garamond" w:hAnsi="Garamond"/>
                <w:b/>
                <w:sz w:val="24"/>
              </w:rPr>
              <w:t>Wednesday</w:t>
            </w:r>
          </w:p>
          <w:p>
            <w:pPr>
              <w:pStyle w:val="Normal"/>
              <w:spacing w:before="60" w:after="0"/>
              <w:jc w:val="center"/>
              <w:rPr>
                <w:rFonts w:ascii="Garamond" w:hAnsi="Garamond" w:cs="Arial"/>
                <w:b/>
                <w:sz w:val="24"/>
              </w:rPr>
            </w:pPr>
            <w:r>
              <w:rPr>
                <w:rFonts w:cs="Arial" w:ascii="Garamond" w:hAnsi="Garamond"/>
                <w:b/>
                <w:sz w:val="24"/>
              </w:rPr>
              <w:t>(7/11)</w:t>
            </w:r>
          </w:p>
        </w:tc>
        <w:tc>
          <w:tcPr>
            <w:tcW w:w="1260" w:type="dxa"/>
            <w:tcBorders>
              <w:top w:val="single" w:sz="4" w:space="0" w:color="000000"/>
              <w:bottom w:val="single" w:sz="4" w:space="0" w:color="000000"/>
            </w:tcBorders>
            <w:shd w:fill="D9D9D9" w:val="clear"/>
          </w:tcPr>
          <w:p>
            <w:pPr>
              <w:pStyle w:val="Normal"/>
              <w:spacing w:before="60" w:after="0"/>
              <w:jc w:val="center"/>
              <w:rPr>
                <w:rFonts w:ascii="Garamond" w:hAnsi="Garamond" w:cs="Arial"/>
                <w:b/>
                <w:sz w:val="24"/>
              </w:rPr>
            </w:pPr>
            <w:r>
              <w:rPr>
                <w:rFonts w:cs="Arial" w:ascii="Garamond" w:hAnsi="Garamond"/>
                <w:b/>
                <w:sz w:val="24"/>
              </w:rPr>
              <w:t>Thursday</w:t>
            </w:r>
          </w:p>
          <w:p>
            <w:pPr>
              <w:pStyle w:val="Normal"/>
              <w:spacing w:before="60" w:after="0"/>
              <w:jc w:val="center"/>
              <w:rPr>
                <w:rFonts w:ascii="Garamond" w:hAnsi="Garamond" w:cs="Arial"/>
                <w:b/>
                <w:sz w:val="24"/>
              </w:rPr>
            </w:pPr>
            <w:r>
              <w:rPr>
                <w:rFonts w:cs="Arial" w:ascii="Garamond" w:hAnsi="Garamond"/>
                <w:b/>
                <w:sz w:val="24"/>
              </w:rPr>
              <w:t>(7/12)</w:t>
            </w:r>
          </w:p>
        </w:tc>
        <w:tc>
          <w:tcPr>
            <w:tcW w:w="1350" w:type="dxa"/>
            <w:tcBorders>
              <w:top w:val="single" w:sz="4" w:space="0" w:color="000000"/>
              <w:bottom w:val="single" w:sz="4" w:space="0" w:color="000000"/>
              <w:end w:val="single" w:sz="4" w:space="0" w:color="000000"/>
            </w:tcBorders>
            <w:shd w:fill="D9D9D9" w:val="clear"/>
          </w:tcPr>
          <w:p>
            <w:pPr>
              <w:pStyle w:val="Normal"/>
              <w:spacing w:before="60" w:after="0"/>
              <w:jc w:val="center"/>
              <w:rPr>
                <w:rFonts w:ascii="Garamond" w:hAnsi="Garamond" w:cs="Arial"/>
                <w:b/>
                <w:sz w:val="24"/>
              </w:rPr>
            </w:pPr>
            <w:r>
              <w:rPr>
                <w:rFonts w:cs="Arial" w:ascii="Garamond" w:hAnsi="Garamond"/>
                <w:b/>
                <w:sz w:val="24"/>
              </w:rPr>
              <w:t>Friday</w:t>
            </w:r>
          </w:p>
          <w:p>
            <w:pPr>
              <w:pStyle w:val="Normal"/>
              <w:spacing w:before="60" w:after="0"/>
              <w:jc w:val="center"/>
              <w:rPr>
                <w:rFonts w:ascii="Garamond" w:hAnsi="Garamond" w:cs="Arial"/>
                <w:b/>
                <w:sz w:val="24"/>
              </w:rPr>
            </w:pPr>
            <w:r>
              <w:rPr>
                <w:rFonts w:cs="Arial" w:ascii="Garamond" w:hAnsi="Garamond"/>
                <w:b/>
                <w:sz w:val="24"/>
              </w:rPr>
              <w:t>(7/13)</w:t>
            </w:r>
          </w:p>
        </w:tc>
      </w:tr>
      <w:tr>
        <w:trPr>
          <w:trHeight w:val="243" w:hRule="atLeast"/>
        </w:trPr>
        <w:tc>
          <w:tcPr>
            <w:tcW w:w="2160" w:type="dxa"/>
            <w:tcBorders>
              <w:top w:val="single" w:sz="4" w:space="0" w:color="000000"/>
              <w:start w:val="single" w:sz="4" w:space="0" w:color="000000"/>
            </w:tcBorders>
            <w:shd w:fill="D9D9D9" w:val="clear"/>
          </w:tcPr>
          <w:p>
            <w:pPr>
              <w:pStyle w:val="Normal"/>
              <w:spacing w:before="60" w:after="0"/>
              <w:rPr>
                <w:rFonts w:ascii="Garamond" w:hAnsi="Garamond" w:cs="Arial"/>
                <w:b/>
                <w:sz w:val="24"/>
              </w:rPr>
            </w:pPr>
            <w:r>
              <w:rPr>
                <w:rFonts w:cs="Arial" w:ascii="Garamond" w:hAnsi="Garamond"/>
                <w:b/>
                <w:sz w:val="24"/>
              </w:rPr>
              <w:t>Shelley Corman</w:t>
            </w:r>
          </w:p>
        </w:tc>
        <w:tc>
          <w:tcPr>
            <w:tcW w:w="1170" w:type="dxa"/>
            <w:tcBorders>
              <w:top w:val="single" w:sz="4" w:space="0" w:color="000000"/>
            </w:tcBorders>
            <w:shd w:fill="D9D9D9" w:val="clear"/>
          </w:tcPr>
          <w:p>
            <w:pPr>
              <w:pStyle w:val="Normal"/>
              <w:spacing w:before="60" w:after="0"/>
              <w:rPr>
                <w:rFonts w:ascii="Garamond" w:hAnsi="Garamond" w:cs="Arial"/>
                <w:sz w:val="24"/>
              </w:rPr>
            </w:pPr>
            <w:r>
              <w:rPr>
                <w:rFonts w:cs="Arial" w:ascii="Garamond" w:hAnsi="Garamond"/>
                <w:sz w:val="24"/>
              </w:rPr>
              <w:t>Vacation</w:t>
            </w:r>
          </w:p>
        </w:tc>
        <w:tc>
          <w:tcPr>
            <w:tcW w:w="1260" w:type="dxa"/>
            <w:tcBorders>
              <w:top w:val="single" w:sz="4" w:space="0" w:color="000000"/>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440" w:type="dxa"/>
            <w:tcBorders>
              <w:top w:val="single" w:sz="4" w:space="0" w:color="000000"/>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260" w:type="dxa"/>
            <w:tcBorders>
              <w:top w:val="single" w:sz="4" w:space="0" w:color="000000"/>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350" w:type="dxa"/>
            <w:tcBorders>
              <w:top w:val="single" w:sz="4" w:space="0" w:color="000000"/>
              <w:end w:val="single" w:sz="4" w:space="0" w:color="000000"/>
            </w:tcBorders>
            <w:shd w:fill="D9D9D9" w:val="clear"/>
          </w:tcPr>
          <w:p>
            <w:pPr>
              <w:pStyle w:val="Normal"/>
              <w:spacing w:before="60" w:after="0"/>
              <w:rPr>
                <w:rFonts w:ascii="Garamond" w:hAnsi="Garamond" w:cs="Arial"/>
                <w:sz w:val="24"/>
              </w:rPr>
            </w:pPr>
            <w:r>
              <w:rPr>
                <w:rFonts w:cs="Arial" w:ascii="Garamond" w:hAnsi="Garamond"/>
                <w:sz w:val="24"/>
              </w:rPr>
              <w:t>Houston</w:t>
            </w:r>
          </w:p>
        </w:tc>
      </w:tr>
      <w:tr>
        <w:trPr>
          <w:trHeight w:val="243" w:hRule="atLeast"/>
        </w:trPr>
        <w:tc>
          <w:tcPr>
            <w:tcW w:w="2160" w:type="dxa"/>
            <w:tcBorders>
              <w:start w:val="single" w:sz="4" w:space="0" w:color="000000"/>
            </w:tcBorders>
            <w:shd w:fill="D9D9D9" w:val="clear"/>
          </w:tcPr>
          <w:p>
            <w:pPr>
              <w:pStyle w:val="Normal"/>
              <w:spacing w:before="60" w:after="0"/>
              <w:rPr>
                <w:rFonts w:ascii="Garamond" w:hAnsi="Garamond" w:cs="Arial"/>
                <w:b/>
                <w:sz w:val="24"/>
              </w:rPr>
            </w:pPr>
            <w:r>
              <w:rPr>
                <w:rFonts w:cs="Arial" w:ascii="Garamond" w:hAnsi="Garamond"/>
                <w:b/>
                <w:sz w:val="24"/>
              </w:rPr>
              <w:t>Lynn Blair</w:t>
            </w:r>
          </w:p>
        </w:tc>
        <w:tc>
          <w:tcPr>
            <w:tcW w:w="1170" w:type="dxa"/>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260" w:type="dxa"/>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440" w:type="dxa"/>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260" w:type="dxa"/>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350" w:type="dxa"/>
            <w:tcBorders>
              <w:end w:val="single" w:sz="4" w:space="0" w:color="000000"/>
            </w:tcBorders>
            <w:shd w:fill="D9D9D9" w:val="clear"/>
          </w:tcPr>
          <w:p>
            <w:pPr>
              <w:pStyle w:val="Normal"/>
              <w:spacing w:before="60" w:after="0"/>
              <w:rPr>
                <w:rFonts w:ascii="Garamond" w:hAnsi="Garamond" w:cs="Arial"/>
                <w:sz w:val="24"/>
              </w:rPr>
            </w:pPr>
            <w:r>
              <w:rPr>
                <w:rFonts w:cs="Arial" w:ascii="Garamond" w:hAnsi="Garamond"/>
                <w:sz w:val="24"/>
              </w:rPr>
              <w:t>Houston</w:t>
            </w:r>
          </w:p>
        </w:tc>
      </w:tr>
      <w:tr>
        <w:trPr>
          <w:trHeight w:val="243" w:hRule="atLeast"/>
        </w:trPr>
        <w:tc>
          <w:tcPr>
            <w:tcW w:w="2160" w:type="dxa"/>
            <w:tcBorders>
              <w:start w:val="single" w:sz="4" w:space="0" w:color="000000"/>
            </w:tcBorders>
            <w:shd w:fill="D9D9D9" w:val="clear"/>
          </w:tcPr>
          <w:p>
            <w:pPr>
              <w:pStyle w:val="Normal"/>
              <w:spacing w:before="60" w:after="0"/>
              <w:rPr>
                <w:rFonts w:ascii="Garamond" w:hAnsi="Garamond" w:cs="Arial"/>
                <w:b/>
                <w:sz w:val="24"/>
              </w:rPr>
            </w:pPr>
            <w:r>
              <w:rPr>
                <w:rFonts w:cs="Arial" w:ascii="Garamond" w:hAnsi="Garamond"/>
                <w:b/>
                <w:sz w:val="24"/>
              </w:rPr>
              <w:t>Rick Dietz</w:t>
            </w:r>
          </w:p>
        </w:tc>
        <w:tc>
          <w:tcPr>
            <w:tcW w:w="1170" w:type="dxa"/>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260" w:type="dxa"/>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440" w:type="dxa"/>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260" w:type="dxa"/>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350" w:type="dxa"/>
            <w:tcBorders>
              <w:end w:val="single" w:sz="4" w:space="0" w:color="000000"/>
            </w:tcBorders>
            <w:shd w:fill="D9D9D9" w:val="clear"/>
          </w:tcPr>
          <w:p>
            <w:pPr>
              <w:pStyle w:val="Normal"/>
              <w:spacing w:before="60" w:after="0"/>
              <w:rPr>
                <w:rFonts w:ascii="Garamond" w:hAnsi="Garamond" w:cs="Arial"/>
                <w:sz w:val="24"/>
              </w:rPr>
            </w:pPr>
            <w:r>
              <w:rPr>
                <w:rFonts w:cs="Arial" w:ascii="Garamond" w:hAnsi="Garamond"/>
                <w:sz w:val="24"/>
              </w:rPr>
              <w:t>Houston</w:t>
            </w:r>
          </w:p>
        </w:tc>
      </w:tr>
      <w:tr>
        <w:trPr>
          <w:trHeight w:val="243" w:hRule="atLeast"/>
        </w:trPr>
        <w:tc>
          <w:tcPr>
            <w:tcW w:w="2160" w:type="dxa"/>
            <w:tcBorders>
              <w:start w:val="single" w:sz="4" w:space="0" w:color="000000"/>
            </w:tcBorders>
            <w:shd w:fill="D9D9D9" w:val="clear"/>
          </w:tcPr>
          <w:p>
            <w:pPr>
              <w:pStyle w:val="Normal"/>
              <w:spacing w:before="60" w:after="0"/>
              <w:rPr>
                <w:rFonts w:ascii="Garamond" w:hAnsi="Garamond" w:cs="Arial"/>
                <w:b/>
                <w:sz w:val="24"/>
              </w:rPr>
            </w:pPr>
            <w:r>
              <w:rPr>
                <w:rFonts w:cs="Arial" w:ascii="Garamond" w:hAnsi="Garamond"/>
                <w:b/>
                <w:sz w:val="24"/>
              </w:rPr>
              <w:t>Brad Holmes</w:t>
            </w:r>
          </w:p>
        </w:tc>
        <w:tc>
          <w:tcPr>
            <w:tcW w:w="1170" w:type="dxa"/>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260" w:type="dxa"/>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440" w:type="dxa"/>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260" w:type="dxa"/>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350" w:type="dxa"/>
            <w:tcBorders>
              <w:end w:val="single" w:sz="4" w:space="0" w:color="000000"/>
            </w:tcBorders>
            <w:shd w:fill="D9D9D9" w:val="clear"/>
          </w:tcPr>
          <w:p>
            <w:pPr>
              <w:pStyle w:val="Normal"/>
              <w:spacing w:before="60" w:after="0"/>
              <w:rPr>
                <w:rFonts w:ascii="Garamond" w:hAnsi="Garamond" w:cs="Arial"/>
                <w:sz w:val="24"/>
              </w:rPr>
            </w:pPr>
            <w:r>
              <w:rPr>
                <w:rFonts w:cs="Arial" w:ascii="Garamond" w:hAnsi="Garamond"/>
                <w:sz w:val="24"/>
              </w:rPr>
              <w:t>Houston</w:t>
            </w:r>
          </w:p>
        </w:tc>
      </w:tr>
      <w:tr>
        <w:trPr>
          <w:trHeight w:val="243" w:hRule="atLeast"/>
        </w:trPr>
        <w:tc>
          <w:tcPr>
            <w:tcW w:w="2160" w:type="dxa"/>
            <w:tcBorders>
              <w:start w:val="single" w:sz="4" w:space="0" w:color="000000"/>
            </w:tcBorders>
            <w:shd w:fill="D9D9D9" w:val="clear"/>
          </w:tcPr>
          <w:p>
            <w:pPr>
              <w:pStyle w:val="Normal"/>
              <w:spacing w:before="60" w:after="0"/>
              <w:rPr>
                <w:rFonts w:ascii="Garamond" w:hAnsi="Garamond" w:cs="Arial"/>
                <w:b/>
                <w:sz w:val="24"/>
              </w:rPr>
            </w:pPr>
            <w:r>
              <w:rPr>
                <w:rFonts w:cs="Arial" w:ascii="Garamond" w:hAnsi="Garamond"/>
                <w:b/>
                <w:sz w:val="24"/>
              </w:rPr>
              <w:t>Steve January</w:t>
            </w:r>
          </w:p>
        </w:tc>
        <w:tc>
          <w:tcPr>
            <w:tcW w:w="1170" w:type="dxa"/>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260" w:type="dxa"/>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440" w:type="dxa"/>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260" w:type="dxa"/>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350" w:type="dxa"/>
            <w:tcBorders>
              <w:end w:val="single" w:sz="4" w:space="0" w:color="000000"/>
            </w:tcBorders>
            <w:shd w:fill="D9D9D9" w:val="clear"/>
          </w:tcPr>
          <w:p>
            <w:pPr>
              <w:pStyle w:val="Normal"/>
              <w:spacing w:before="60" w:after="0"/>
              <w:rPr>
                <w:rFonts w:ascii="Garamond" w:hAnsi="Garamond" w:cs="Arial"/>
                <w:sz w:val="24"/>
              </w:rPr>
            </w:pPr>
            <w:r>
              <w:rPr>
                <w:rFonts w:cs="Arial" w:ascii="Garamond" w:hAnsi="Garamond"/>
                <w:sz w:val="24"/>
              </w:rPr>
              <w:t>Houston</w:t>
            </w:r>
          </w:p>
        </w:tc>
      </w:tr>
      <w:tr>
        <w:trPr>
          <w:trHeight w:val="243" w:hRule="atLeast"/>
        </w:trPr>
        <w:tc>
          <w:tcPr>
            <w:tcW w:w="2160" w:type="dxa"/>
            <w:tcBorders>
              <w:start w:val="single" w:sz="4" w:space="0" w:color="000000"/>
            </w:tcBorders>
            <w:shd w:fill="D9D9D9" w:val="clear"/>
          </w:tcPr>
          <w:p>
            <w:pPr>
              <w:pStyle w:val="Normal"/>
              <w:spacing w:before="60" w:after="0"/>
              <w:rPr>
                <w:rFonts w:ascii="Garamond" w:hAnsi="Garamond" w:cs="Arial"/>
                <w:b/>
                <w:sz w:val="24"/>
              </w:rPr>
            </w:pPr>
            <w:r>
              <w:rPr>
                <w:rFonts w:cs="Arial" w:ascii="Garamond" w:hAnsi="Garamond"/>
                <w:b/>
                <w:sz w:val="24"/>
              </w:rPr>
              <w:t>Sheila Nacey</w:t>
            </w:r>
          </w:p>
        </w:tc>
        <w:tc>
          <w:tcPr>
            <w:tcW w:w="1170" w:type="dxa"/>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260" w:type="dxa"/>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440" w:type="dxa"/>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260" w:type="dxa"/>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350" w:type="dxa"/>
            <w:tcBorders>
              <w:end w:val="single" w:sz="4" w:space="0" w:color="000000"/>
            </w:tcBorders>
            <w:shd w:fill="D9D9D9" w:val="clear"/>
          </w:tcPr>
          <w:p>
            <w:pPr>
              <w:pStyle w:val="Normal"/>
              <w:spacing w:before="60" w:after="0"/>
              <w:rPr>
                <w:rFonts w:ascii="Garamond" w:hAnsi="Garamond" w:cs="Arial"/>
                <w:sz w:val="24"/>
              </w:rPr>
            </w:pPr>
            <w:r>
              <w:rPr>
                <w:rFonts w:cs="Arial" w:ascii="Garamond" w:hAnsi="Garamond"/>
                <w:sz w:val="24"/>
              </w:rPr>
              <w:t>Houston</w:t>
            </w:r>
          </w:p>
        </w:tc>
      </w:tr>
      <w:tr>
        <w:trPr>
          <w:trHeight w:val="270" w:hRule="atLeast"/>
        </w:trPr>
        <w:tc>
          <w:tcPr>
            <w:tcW w:w="2160" w:type="dxa"/>
            <w:tcBorders>
              <w:start w:val="single" w:sz="4" w:space="0" w:color="000000"/>
              <w:bottom w:val="single" w:sz="4" w:space="0" w:color="000000"/>
            </w:tcBorders>
            <w:shd w:fill="D9D9D9" w:val="clear"/>
          </w:tcPr>
          <w:p>
            <w:pPr>
              <w:pStyle w:val="Normal"/>
              <w:spacing w:before="60" w:after="0"/>
              <w:rPr>
                <w:rFonts w:ascii="Garamond" w:hAnsi="Garamond" w:cs="Arial"/>
                <w:b/>
                <w:sz w:val="24"/>
              </w:rPr>
            </w:pPr>
            <w:r>
              <w:rPr>
                <w:rFonts w:cs="Arial" w:ascii="Garamond" w:hAnsi="Garamond"/>
                <w:b/>
                <w:sz w:val="24"/>
              </w:rPr>
              <w:t>Donna Scott</w:t>
            </w:r>
          </w:p>
        </w:tc>
        <w:tc>
          <w:tcPr>
            <w:tcW w:w="1170" w:type="dxa"/>
            <w:tcBorders>
              <w:bottom w:val="single" w:sz="4" w:space="0" w:color="000000"/>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260" w:type="dxa"/>
            <w:tcBorders>
              <w:bottom w:val="single" w:sz="4" w:space="0" w:color="000000"/>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440" w:type="dxa"/>
            <w:tcBorders>
              <w:bottom w:val="single" w:sz="4" w:space="0" w:color="000000"/>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260" w:type="dxa"/>
            <w:tcBorders>
              <w:bottom w:val="single" w:sz="4" w:space="0" w:color="000000"/>
            </w:tcBorders>
            <w:shd w:fill="D9D9D9" w:val="clear"/>
          </w:tcPr>
          <w:p>
            <w:pPr>
              <w:pStyle w:val="Normal"/>
              <w:spacing w:before="60" w:after="0"/>
              <w:rPr>
                <w:rFonts w:ascii="Garamond" w:hAnsi="Garamond" w:cs="Arial"/>
                <w:sz w:val="24"/>
              </w:rPr>
            </w:pPr>
            <w:r>
              <w:rPr>
                <w:rFonts w:cs="Arial" w:ascii="Garamond" w:hAnsi="Garamond"/>
                <w:sz w:val="24"/>
              </w:rPr>
              <w:t>Houston</w:t>
            </w:r>
          </w:p>
        </w:tc>
        <w:tc>
          <w:tcPr>
            <w:tcW w:w="1350" w:type="dxa"/>
            <w:tcBorders>
              <w:bottom w:val="single" w:sz="4" w:space="0" w:color="000000"/>
              <w:end w:val="single" w:sz="4" w:space="0" w:color="000000"/>
            </w:tcBorders>
            <w:shd w:fill="D9D9D9" w:val="clear"/>
          </w:tcPr>
          <w:p>
            <w:pPr>
              <w:pStyle w:val="Normal"/>
              <w:spacing w:before="60" w:after="0"/>
              <w:rPr>
                <w:rFonts w:ascii="Garamond" w:hAnsi="Garamond" w:cs="Arial"/>
                <w:sz w:val="24"/>
              </w:rPr>
            </w:pPr>
            <w:r>
              <w:rPr>
                <w:rFonts w:cs="Arial" w:ascii="Garamond" w:hAnsi="Garamond"/>
                <w:sz w:val="24"/>
              </w:rPr>
              <w:t>Houston</w:t>
            </w:r>
          </w:p>
        </w:tc>
      </w:tr>
    </w:tbl>
    <w:p>
      <w:pPr>
        <w:pStyle w:val="Header"/>
        <w:tabs>
          <w:tab w:val="clear" w:pos="4320"/>
          <w:tab w:val="clear" w:pos="8640"/>
        </w:tabs>
        <w:rPr>
          <w:rFonts w:ascii="Garamond" w:hAnsi="Garamond" w:cs="Garamond"/>
        </w:rPr>
      </w:pPr>
      <w:r>
        <w:rPr>
          <w:rFonts w:cs="Garamond" w:ascii="Garamond" w:hAnsi="Garamond"/>
        </w:rPr>
      </w:r>
    </w:p>
    <w:p>
      <w:pPr>
        <w:pStyle w:val="Normal"/>
        <w:rPr>
          <w:rFonts w:ascii="Garamond" w:hAnsi="Garamond" w:cs="Garamond"/>
          <w:b/>
          <w:bCs/>
          <w:sz w:val="24"/>
          <w:u w:val="single"/>
        </w:rPr>
      </w:pPr>
      <w:r>
        <w:rPr>
          <w:rFonts w:cs="Garamond" w:ascii="Garamond" w:hAnsi="Garamond"/>
          <w:b/>
          <w:bCs/>
          <w:sz w:val="24"/>
          <w:u w:val="single"/>
        </w:rPr>
        <w:t>Accounts Receivable</w:t>
      </w:r>
    </w:p>
    <w:p>
      <w:pPr>
        <w:pStyle w:val="Normal"/>
        <w:numPr>
          <w:ilvl w:val="0"/>
          <w:numId w:val="4"/>
        </w:numPr>
        <w:jc w:val="both"/>
        <w:rPr>
          <w:rFonts w:ascii="Garamond" w:hAnsi="Garamond" w:cs="Garamond"/>
        </w:rPr>
      </w:pPr>
      <w:r>
        <w:rPr>
          <w:rFonts w:cs="Garamond" w:ascii="Garamond" w:hAnsi="Garamond"/>
        </w:rPr>
        <w:t xml:space="preserve">Randy B. worked with Larry Davis on the Utilicorp Daily Allocation Reports.  Larry was able to successfully convert the reports to Excel format and Randy B. sent a preliminary report to Keith Milem at UCU via email for testing. UCU should report back to Randy B. within a few weeks for approval. </w:t>
      </w:r>
    </w:p>
    <w:p>
      <w:pPr>
        <w:pStyle w:val="Normal"/>
        <w:numPr>
          <w:ilvl w:val="0"/>
          <w:numId w:val="4"/>
        </w:numPr>
        <w:jc w:val="both"/>
        <w:rPr>
          <w:rFonts w:ascii="Garamond" w:hAnsi="Garamond" w:cs="Garamond"/>
        </w:rPr>
      </w:pPr>
      <w:r>
        <w:rPr>
          <w:rFonts w:cs="Garamond" w:ascii="Garamond" w:hAnsi="Garamond"/>
        </w:rPr>
        <w:t>Randy B. worked with Tim Carter at Xcel Energy to resolve A/R issues with Greater Minnesota Gas.  Randy B. was able to collect approximately $14,000, which cleared invoices dating back to March 2001.</w:t>
      </w:r>
    </w:p>
    <w:p>
      <w:pPr>
        <w:pStyle w:val="Normal"/>
        <w:numPr>
          <w:ilvl w:val="0"/>
          <w:numId w:val="2"/>
        </w:numPr>
        <w:jc w:val="both"/>
        <w:rPr>
          <w:rFonts w:ascii="Garamond" w:hAnsi="Garamond" w:cs="Garamond"/>
          <w:bCs/>
        </w:rPr>
      </w:pPr>
      <w:r>
        <w:rPr>
          <w:rFonts w:cs="Garamond" w:ascii="Garamond" w:hAnsi="Garamond"/>
          <w:bCs/>
        </w:rPr>
        <w:t>Kathy S. submitted the JV for Owatonna Public Utilities clearing the PPA invoices for the production months November and December 2000 and January and February 2001, generated in accounting month 200106.  Alma Richter, Measurement, is rechecking the physical volumes for those months after Measurement Close, July 9</w:t>
      </w:r>
      <w:r>
        <w:rPr>
          <w:rFonts w:cs="Garamond" w:ascii="Garamond" w:hAnsi="Garamond"/>
          <w:bCs/>
          <w:vertAlign w:val="superscript"/>
        </w:rPr>
        <w:t>th</w:t>
      </w:r>
      <w:r>
        <w:rPr>
          <w:rFonts w:cs="Garamond" w:ascii="Garamond" w:hAnsi="Garamond"/>
          <w:bCs/>
        </w:rPr>
        <w:t xml:space="preserve">. </w:t>
      </w:r>
    </w:p>
    <w:p>
      <w:pPr>
        <w:pStyle w:val="Normal"/>
        <w:numPr>
          <w:ilvl w:val="0"/>
          <w:numId w:val="2"/>
        </w:numPr>
        <w:jc w:val="both"/>
        <w:rPr>
          <w:rFonts w:ascii="Garamond" w:hAnsi="Garamond" w:cs="Garamond"/>
          <w:bCs/>
        </w:rPr>
      </w:pPr>
      <w:r>
        <w:rPr>
          <w:rFonts w:cs="Garamond" w:ascii="Garamond" w:hAnsi="Garamond"/>
          <w:bCs/>
        </w:rPr>
        <w:t>Sherry provided Terra Nitrogen’s A/R information to Mike Barry in Omaha.</w:t>
      </w:r>
    </w:p>
    <w:p>
      <w:pPr>
        <w:pStyle w:val="Normal"/>
        <w:ind w:end="-180"/>
        <w:jc w:val="both"/>
        <w:rPr>
          <w:rFonts w:ascii="Garamond" w:hAnsi="Garamond" w:cs="Arial"/>
          <w:bCs/>
          <w:sz w:val="24"/>
        </w:rPr>
      </w:pPr>
      <w:r>
        <w:rPr>
          <w:rFonts w:cs="Arial" w:ascii="Garamond" w:hAnsi="Garamond"/>
          <w:bCs/>
          <w:sz w:val="24"/>
        </w:rPr>
      </w:r>
    </w:p>
    <w:p>
      <w:pPr>
        <w:pStyle w:val="Normal"/>
        <w:ind w:end="-180"/>
        <w:jc w:val="both"/>
        <w:rPr>
          <w:rFonts w:ascii="Garamond" w:hAnsi="Garamond" w:cs="Arial"/>
          <w:b/>
          <w:sz w:val="24"/>
          <w:u w:val="single"/>
        </w:rPr>
      </w:pPr>
      <w:r>
        <w:rPr>
          <w:rFonts w:cs="Arial" w:ascii="Garamond" w:hAnsi="Garamond"/>
          <w:b/>
          <w:sz w:val="24"/>
          <w:u w:val="single"/>
        </w:rPr>
        <w:t>Meetings/Other</w:t>
      </w:r>
    </w:p>
    <w:p>
      <w:pPr>
        <w:pStyle w:val="Normal"/>
        <w:numPr>
          <w:ilvl w:val="0"/>
          <w:numId w:val="7"/>
        </w:numPr>
        <w:jc w:val="both"/>
        <w:rPr>
          <w:rFonts w:ascii="Garamond" w:hAnsi="Garamond" w:cs="Garamond"/>
        </w:rPr>
      </w:pPr>
      <w:r>
        <w:rPr>
          <w:rFonts w:cs="Garamond" w:ascii="Garamond" w:hAnsi="Garamond"/>
        </w:rPr>
        <w:t xml:space="preserve">Kathy W. participated in the TMS Small Talk Testing Project for NNG, TW, and FGT.  </w:t>
      </w:r>
    </w:p>
    <w:p>
      <w:pPr>
        <w:pStyle w:val="Normal"/>
        <w:numPr>
          <w:ilvl w:val="0"/>
          <w:numId w:val="2"/>
        </w:numPr>
        <w:jc w:val="both"/>
        <w:rPr>
          <w:rFonts w:ascii="Garamond" w:hAnsi="Garamond" w:cs="Garamond"/>
          <w:bCs/>
        </w:rPr>
      </w:pPr>
      <w:r>
        <w:rPr>
          <w:rFonts w:cs="Garamond" w:ascii="Garamond" w:hAnsi="Garamond"/>
          <w:bCs/>
        </w:rPr>
        <w:t>Randy J. attended a meeting with Lynn Blair, John Buchanan, Gary Spraggins and Nancy Callans concerning the Sunflower Interconnect.  Discussion centered on how we are going to track their volumes and how to get volume requests to Gas Control.</w:t>
      </w:r>
    </w:p>
    <w:p>
      <w:pPr>
        <w:pStyle w:val="Normal"/>
        <w:numPr>
          <w:ilvl w:val="0"/>
          <w:numId w:val="2"/>
        </w:numPr>
        <w:jc w:val="both"/>
        <w:rPr>
          <w:rFonts w:ascii="Garamond" w:hAnsi="Garamond" w:cs="Garamond"/>
          <w:bCs/>
        </w:rPr>
      </w:pPr>
      <w:r>
        <w:rPr>
          <w:rFonts w:cs="Garamond" w:ascii="Garamond" w:hAnsi="Garamond"/>
          <w:bCs/>
        </w:rPr>
        <w:t xml:space="preserve">Kathy S. continues to test Flowing Gas enhancements. </w:t>
      </w:r>
    </w:p>
    <w:p>
      <w:pPr>
        <w:pStyle w:val="Normal"/>
        <w:ind w:end="-180"/>
        <w:jc w:val="both"/>
        <w:rPr>
          <w:rFonts w:ascii="Garamond" w:hAnsi="Garamond" w:cs="Arial"/>
          <w:bCs/>
          <w:sz w:val="24"/>
        </w:rPr>
      </w:pPr>
      <w:r>
        <w:rPr>
          <w:rFonts w:cs="Arial" w:ascii="Garamond" w:hAnsi="Garamond"/>
          <w:bCs/>
          <w:sz w:val="24"/>
        </w:rPr>
      </w:r>
    </w:p>
    <w:p>
      <w:pPr>
        <w:pStyle w:val="Normal"/>
        <w:jc w:val="both"/>
        <w:rPr>
          <w:rFonts w:ascii="Garamond" w:hAnsi="Garamond" w:cs="Garamond"/>
          <w:b/>
          <w:bCs/>
          <w:sz w:val="24"/>
          <w:u w:val="single"/>
        </w:rPr>
      </w:pPr>
      <w:r>
        <w:rPr>
          <w:rFonts w:cs="Garamond" w:ascii="Garamond" w:hAnsi="Garamond"/>
          <w:b/>
          <w:bCs/>
          <w:sz w:val="24"/>
          <w:u w:val="single"/>
        </w:rPr>
        <w:t>Training</w:t>
      </w:r>
    </w:p>
    <w:p>
      <w:pPr>
        <w:pStyle w:val="Normal"/>
        <w:numPr>
          <w:ilvl w:val="0"/>
          <w:numId w:val="7"/>
        </w:numPr>
        <w:jc w:val="both"/>
        <w:rPr>
          <w:rFonts w:ascii="Garamond" w:hAnsi="Garamond" w:cs="Garamond"/>
          <w:bCs/>
        </w:rPr>
      </w:pPr>
      <w:r>
        <w:rPr>
          <w:rFonts w:cs="Garamond" w:ascii="Garamond" w:hAnsi="Garamond"/>
          <w:bCs/>
        </w:rPr>
        <w:t xml:space="preserve">The North Team is providing training to Karen Clapper on the teams interconnects. </w:t>
      </w:r>
    </w:p>
    <w:p>
      <w:pPr>
        <w:pStyle w:val="Normal"/>
        <w:numPr>
          <w:ilvl w:val="0"/>
          <w:numId w:val="3"/>
        </w:numPr>
        <w:jc w:val="both"/>
        <w:rPr>
          <w:rFonts w:ascii="Garamond" w:hAnsi="Garamond" w:cs="Garamond"/>
          <w:bCs/>
        </w:rPr>
      </w:pPr>
      <w:r>
        <w:rPr>
          <w:rFonts w:cs="Garamond" w:ascii="Garamond" w:hAnsi="Garamond"/>
          <w:bCs/>
        </w:rPr>
        <w:t>Scott continues to train with the South Central team.</w:t>
      </w:r>
    </w:p>
    <w:p>
      <w:pPr>
        <w:pStyle w:val="Normal"/>
        <w:numPr>
          <w:ilvl w:val="0"/>
          <w:numId w:val="8"/>
        </w:numPr>
        <w:jc w:val="both"/>
        <w:rPr>
          <w:rFonts w:ascii="Garamond" w:hAnsi="Garamond" w:cs="Garamond"/>
        </w:rPr>
      </w:pPr>
      <w:r>
        <w:rPr>
          <w:rFonts w:cs="Garamond" w:ascii="Garamond" w:hAnsi="Garamond"/>
          <w:bCs/>
        </w:rPr>
        <w:t>Kathy S. and Sherry attended the Gas Logistics Accounting Training on Thursday.</w:t>
      </w:r>
    </w:p>
    <w:p>
      <w:pPr>
        <w:pStyle w:val="Normal"/>
        <w:ind w:end="-180"/>
        <w:jc w:val="both"/>
        <w:rPr>
          <w:rFonts w:ascii="Garamond" w:hAnsi="Garamond" w:cs="Arial"/>
          <w:sz w:val="24"/>
        </w:rPr>
      </w:pPr>
      <w:r>
        <w:rPr>
          <w:rFonts w:cs="Arial" w:ascii="Garamond" w:hAnsi="Garamond"/>
          <w:sz w:val="24"/>
        </w:rPr>
      </w:r>
    </w:p>
    <w:p>
      <w:pPr>
        <w:pStyle w:val="Normal"/>
        <w:jc w:val="both"/>
        <w:rPr>
          <w:rFonts w:ascii="Garamond" w:hAnsi="Garamond" w:cs="Garamond"/>
          <w:b/>
          <w:bCs/>
          <w:sz w:val="24"/>
          <w:u w:val="single"/>
        </w:rPr>
      </w:pPr>
      <w:r>
        <w:rPr>
          <w:rFonts w:cs="Garamond" w:ascii="Garamond" w:hAnsi="Garamond"/>
          <w:b/>
          <w:bCs/>
          <w:sz w:val="24"/>
          <w:u w:val="single"/>
        </w:rPr>
        <w:t>Coordinator/Specialist Team</w:t>
      </w:r>
    </w:p>
    <w:p>
      <w:pPr>
        <w:pStyle w:val="Header"/>
        <w:tabs>
          <w:tab w:val="clear" w:pos="4320"/>
          <w:tab w:val="clear" w:pos="8640"/>
        </w:tabs>
        <w:ind w:end="-180"/>
        <w:jc w:val="both"/>
        <w:rPr>
          <w:rFonts w:ascii="Garamond" w:hAnsi="Garamond" w:cs="Arial"/>
          <w:b/>
          <w:sz w:val="24"/>
        </w:rPr>
      </w:pPr>
      <w:r>
        <w:rPr>
          <w:rFonts w:cs="Arial" w:ascii="Garamond" w:hAnsi="Garamond"/>
          <w:b/>
          <w:sz w:val="24"/>
        </w:rPr>
        <w:t>John</w:t>
      </w:r>
    </w:p>
    <w:p>
      <w:pPr>
        <w:pStyle w:val="Normal"/>
        <w:numPr>
          <w:ilvl w:val="0"/>
          <w:numId w:val="5"/>
        </w:numPr>
        <w:jc w:val="both"/>
        <w:rPr>
          <w:rFonts w:ascii="Garamond" w:hAnsi="Garamond" w:cs="Garamond"/>
        </w:rPr>
      </w:pPr>
      <w:r>
        <w:rPr>
          <w:rFonts w:cs="Garamond" w:ascii="Garamond" w:hAnsi="Garamond"/>
        </w:rPr>
        <w:t xml:space="preserve">Gary Anderson in measurement held a meeting to discuss procedures needed to avoid volumes entering the system without being scheduled. Gary will be sending out a draft procedure this week asking for comments. Once the procedure is final it will be distributed to the field and Houston business groups. </w:t>
      </w:r>
    </w:p>
    <w:p>
      <w:pPr>
        <w:pStyle w:val="Normal"/>
        <w:numPr>
          <w:ilvl w:val="0"/>
          <w:numId w:val="5"/>
        </w:numPr>
        <w:jc w:val="both"/>
        <w:rPr>
          <w:rFonts w:ascii="Garamond" w:hAnsi="Garamond" w:cs="Garamond"/>
        </w:rPr>
      </w:pPr>
      <w:r>
        <w:rPr>
          <w:rFonts w:cs="Garamond" w:ascii="Garamond" w:hAnsi="Garamond"/>
        </w:rPr>
        <w:t>A meeting was held with the Storage group and Customer Service Gas Logistics to discuss moving the storage allocation before confirmations for all cycles except for the Timely, which was agreed to. Also discussed and agreed to was to allow SBS on whichever side of storage was not allocated. The system enhancements will be tested and migrated by July 15</w:t>
      </w:r>
      <w:r>
        <w:rPr>
          <w:rFonts w:cs="Garamond" w:ascii="Garamond" w:hAnsi="Garamond"/>
          <w:vertAlign w:val="superscript"/>
        </w:rPr>
        <w:t>th</w:t>
      </w:r>
      <w:r>
        <w:rPr>
          <w:rFonts w:cs="Garamond" w:ascii="Garamond" w:hAnsi="Garamond"/>
        </w:rPr>
        <w:t xml:space="preserve">. </w:t>
      </w:r>
    </w:p>
    <w:p>
      <w:pPr>
        <w:pStyle w:val="Normal"/>
        <w:numPr>
          <w:ilvl w:val="0"/>
          <w:numId w:val="5"/>
        </w:numPr>
        <w:jc w:val="both"/>
        <w:rPr>
          <w:rFonts w:ascii="Garamond" w:hAnsi="Garamond" w:cs="Garamond"/>
        </w:rPr>
      </w:pPr>
      <w:r>
        <w:rPr>
          <w:rFonts w:cs="Garamond" w:ascii="Garamond" w:hAnsi="Garamond"/>
        </w:rPr>
        <w:t xml:space="preserve">With the event of having to put a reason in TMS for timeline extensions and all reliability calls going to the HotTap Help Desk and being logged into Remedy, Customers Services Representatives will no longer be required to fill out the Waiver Log. Remedy will be used for reliability reporting, reports are available in TMS and Business Objects. Regulator requested an indefinite retention period for the timeline extensions, which is not a problem according to IT. This will also eliminate the manual reliability report. Cost savings associated with these manual process eliminations are approximately $10,000 annually, along with Customer Services Reps spending more time helping customers.  </w:t>
      </w:r>
    </w:p>
    <w:p>
      <w:pPr>
        <w:pStyle w:val="Header"/>
        <w:tabs>
          <w:tab w:val="clear" w:pos="4320"/>
          <w:tab w:val="clear" w:pos="8640"/>
        </w:tabs>
        <w:ind w:end="-180"/>
        <w:jc w:val="both"/>
        <w:rPr>
          <w:rFonts w:ascii="Garamond" w:hAnsi="Garamond" w:cs="Arial"/>
          <w:sz w:val="24"/>
        </w:rPr>
      </w:pPr>
      <w:r>
        <w:rPr>
          <w:rFonts w:cs="Arial" w:ascii="Garamond" w:hAnsi="Garamond"/>
          <w:sz w:val="24"/>
        </w:rPr>
      </w:r>
    </w:p>
    <w:p>
      <w:pPr>
        <w:pStyle w:val="Header"/>
        <w:tabs>
          <w:tab w:val="clear" w:pos="4320"/>
          <w:tab w:val="clear" w:pos="8640"/>
        </w:tabs>
        <w:ind w:end="-180"/>
        <w:jc w:val="both"/>
        <w:rPr>
          <w:rFonts w:ascii="Garamond" w:hAnsi="Garamond" w:cs="Arial"/>
          <w:b/>
          <w:bCs/>
          <w:sz w:val="24"/>
        </w:rPr>
      </w:pPr>
      <w:r>
        <w:rPr>
          <w:rFonts w:cs="Arial" w:ascii="Garamond" w:hAnsi="Garamond"/>
          <w:b/>
          <w:bCs/>
          <w:sz w:val="24"/>
        </w:rPr>
        <w:t>Mike</w:t>
      </w:r>
    </w:p>
    <w:p>
      <w:pPr>
        <w:pStyle w:val="Normal"/>
        <w:numPr>
          <w:ilvl w:val="0"/>
          <w:numId w:val="9"/>
        </w:numPr>
        <w:autoSpaceDE w:val="false"/>
        <w:ind w:hanging="380" w:start="380" w:end="0"/>
        <w:jc w:val="both"/>
        <w:rPr>
          <w:rFonts w:ascii="Garamond" w:hAnsi="Garamond" w:cs="Arial"/>
        </w:rPr>
      </w:pPr>
      <w:r>
        <w:rPr>
          <w:rFonts w:cs="Arial" w:ascii="Garamond" w:hAnsi="Garamond"/>
        </w:rPr>
        <w:t>Began testing the automated storage summary sheet this week. The data is being accurately retrieved, however there have been some formatting problems encountered that are currently being corrected. All in all, I am very optimistic that the program will ready to be placed into production very soon.</w:t>
      </w:r>
    </w:p>
    <w:p>
      <w:pPr>
        <w:pStyle w:val="Normal"/>
        <w:numPr>
          <w:ilvl w:val="0"/>
          <w:numId w:val="9"/>
        </w:numPr>
        <w:autoSpaceDE w:val="false"/>
        <w:ind w:hanging="380" w:start="380" w:end="0"/>
        <w:jc w:val="both"/>
        <w:rPr>
          <w:rFonts w:ascii="Garamond" w:hAnsi="Garamond" w:cs="Arial"/>
        </w:rPr>
      </w:pPr>
      <w:r>
        <w:rPr>
          <w:rFonts w:cs="Arial" w:ascii="Garamond" w:hAnsi="Garamond"/>
        </w:rPr>
        <w:t xml:space="preserve">An Enhancement request was prepared and submitted to modify the process sequence to place the storage allocation before confirmation during the Evening, Non-Grid, IntraDay 1, and IntraDay 2 cycles. These changes are projected to be ready July 15th. In addition program changes to SBS are underway which will allow SBS to continue during the confirmation process in the opposite direction of a storage allocation. Estimated completion date for the SBS modifications are still being reviewed.  </w:t>
      </w:r>
    </w:p>
    <w:p>
      <w:pPr>
        <w:pStyle w:val="Normal"/>
        <w:numPr>
          <w:ilvl w:val="0"/>
          <w:numId w:val="9"/>
        </w:numPr>
        <w:autoSpaceDE w:val="false"/>
        <w:ind w:hanging="380" w:start="380" w:end="0"/>
        <w:jc w:val="both"/>
        <w:rPr>
          <w:rFonts w:ascii="Garamond" w:hAnsi="Garamond" w:cs="Arial"/>
        </w:rPr>
      </w:pPr>
      <w:r>
        <w:rPr>
          <w:rFonts w:cs="Arial" w:ascii="Garamond" w:hAnsi="Garamond"/>
        </w:rPr>
        <w:t>TW PNR billing for June was approximately $443K on 241K/Dth of activity during the month.</w:t>
      </w:r>
    </w:p>
    <w:p>
      <w:pPr>
        <w:pStyle w:val="Normal"/>
        <w:autoSpaceDE w:val="false"/>
        <w:jc w:val="both"/>
        <w:rPr>
          <w:rFonts w:ascii="Garamond" w:hAnsi="Garamond" w:cs="Arial"/>
        </w:rPr>
      </w:pPr>
      <w:r>
        <w:rPr>
          <w:rFonts w:cs="Arial" w:ascii="Garamond" w:hAnsi="Garamond"/>
        </w:rPr>
      </w:r>
    </w:p>
    <w:sectPr>
      <w:footerReference w:type="default" r:id="rId2"/>
      <w:type w:val="nextPage"/>
      <w:pgSz w:w="12240" w:h="15840"/>
      <w:pgMar w:left="1440" w:right="144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Bullets7.05.01.doc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Arial" w:hAnsi="Helv;Arial" w:cs="Helv;Arial"/>
      <w:b/>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Wingdings" w:hAnsi="Wingdings" w:cs="Wingdings"/>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59z1">
    <w:name w:val="WW8Num359z1"/>
    <w:qFormat/>
    <w:rPr>
      <w:rFonts w:ascii="Courier New" w:hAnsi="Courier New" w:cs="Courier New"/>
    </w:rPr>
  </w:style>
  <w:style w:type="character" w:styleId="WW8Num359z2">
    <w:name w:val="WW8Num359z2"/>
    <w:qFormat/>
    <w:rPr>
      <w:rFonts w:ascii="Wingdings" w:hAnsi="Wingdings" w:cs="Wingdings"/>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7z1">
    <w:name w:val="WW8Num377z1"/>
    <w:qFormat/>
    <w:rPr>
      <w:rFonts w:ascii="Courier New" w:hAnsi="Courier New" w:cs="Courier New"/>
    </w:rPr>
  </w:style>
  <w:style w:type="character" w:styleId="WW8Num377z2">
    <w:name w:val="WW8Num377z2"/>
    <w:qFormat/>
    <w:rPr>
      <w:rFonts w:ascii="Wingdings" w:hAnsi="Wingdings" w:cs="Wingdings"/>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0z1">
    <w:name w:val="WW8Num420z1"/>
    <w:qFormat/>
    <w:rPr>
      <w:rFonts w:ascii="Courier New" w:hAnsi="Courier New" w:cs="Courier New"/>
    </w:rPr>
  </w:style>
  <w:style w:type="character" w:styleId="WW8Num420z2">
    <w:name w:val="WW8Num420z2"/>
    <w:qFormat/>
    <w:rPr>
      <w:rFonts w:ascii="Wingdings" w:hAnsi="Wingdings" w:cs="Wingdings"/>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0z1">
    <w:name w:val="WW8Num430z1"/>
    <w:qFormat/>
    <w:rPr>
      <w:rFonts w:ascii="Courier New" w:hAnsi="Courier New" w:cs="Courier New"/>
    </w:rPr>
  </w:style>
  <w:style w:type="character" w:styleId="WW8Num430z2">
    <w:name w:val="WW8Num430z2"/>
    <w:qFormat/>
    <w:rPr>
      <w:rFonts w:ascii="Wingdings" w:hAnsi="Wingdings" w:cs="Wingdings"/>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color w:val="auto"/>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sz w:val="20"/>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Wingdings" w:hAnsi="Wingdings" w:cs="Wingdings"/>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rFonts w:ascii="Symbol" w:hAnsi="Symbol" w:cs="Symbol"/>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color w:val="auto"/>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Symbol" w:hAnsi="Symbol" w:cs="Symbol"/>
    </w:rPr>
  </w:style>
  <w:style w:type="character" w:styleId="WW8Num679z0">
    <w:name w:val="WW8Num679z0"/>
    <w:qFormat/>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rFonts w:ascii="Symbol" w:hAnsi="Symbol" w:cs="Symbol"/>
    </w:rPr>
  </w:style>
  <w:style w:type="character" w:styleId="WW8Num683z0">
    <w:name w:val="WW8Num683z0"/>
    <w:qFormat/>
    <w:rPr>
      <w:rFonts w:ascii="Wingdings" w:hAnsi="Wingdings" w:cs="Wingdings"/>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Wingdings" w:hAnsi="Wingdings" w:cs="Wingdings"/>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Symbol" w:hAnsi="Symbol" w:cs="Symbol"/>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0z1">
    <w:name w:val="WW8Num760z1"/>
    <w:qFormat/>
    <w:rPr>
      <w:rFonts w:ascii="Courier New" w:hAnsi="Courier New" w:cs="Courier New"/>
    </w:rPr>
  </w:style>
  <w:style w:type="character" w:styleId="WW8Num760z2">
    <w:name w:val="WW8Num760z2"/>
    <w:qFormat/>
    <w:rPr>
      <w:rFonts w:ascii="Wingdings" w:hAnsi="Wingdings" w:cs="Wingdings"/>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2z1">
    <w:name w:val="WW8Num812z1"/>
    <w:qFormat/>
    <w:rPr>
      <w:rFonts w:ascii="Courier New" w:hAnsi="Courier New" w:cs="Courier New"/>
    </w:rPr>
  </w:style>
  <w:style w:type="character" w:styleId="WW8Num812z2">
    <w:name w:val="WW8Num812z2"/>
    <w:qFormat/>
    <w:rPr>
      <w:rFonts w:ascii="Wingdings" w:hAnsi="Wingdings" w:cs="Wingdings"/>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Wingdings" w:hAnsi="Wingdings" w:cs="Wingdings"/>
    </w:rPr>
  </w:style>
  <w:style w:type="character" w:styleId="WW8Num851z0">
    <w:name w:val="WW8Num851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4z0">
    <w:name w:val="WW8Num874z0"/>
    <w:qFormat/>
    <w:rPr>
      <w:rFonts w:ascii="Symbol" w:hAnsi="Symbol" w:cs="Symbol"/>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Symbol" w:hAnsi="Symbol" w:cs="Symbol"/>
      <w:color w:val="auto"/>
    </w:rPr>
  </w:style>
  <w:style w:type="character" w:styleId="WW8Num879z0">
    <w:name w:val="WW8Num879z0"/>
    <w:qFormat/>
    <w:rPr>
      <w:rFonts w:ascii="Symbol" w:hAnsi="Symbol" w:cs="Symbol"/>
    </w:rPr>
  </w:style>
  <w:style w:type="character" w:styleId="WW8Num880z0">
    <w:name w:val="WW8Num880z0"/>
    <w:qFormat/>
    <w:rPr>
      <w:rFonts w:ascii="Symbol" w:hAnsi="Symbol" w:cs="Symbol"/>
    </w:rPr>
  </w:style>
  <w:style w:type="character" w:styleId="WW8Num881z0">
    <w:name w:val="WW8Num881z0"/>
    <w:qFormat/>
    <w:rPr>
      <w:rFonts w:ascii="Symbol" w:hAnsi="Symbol" w:cs="Symbol"/>
    </w:rPr>
  </w:style>
  <w:style w:type="character" w:styleId="WW8Num882z0">
    <w:name w:val="WW8Num882z0"/>
    <w:qFormat/>
    <w:rPr>
      <w:rFonts w:ascii="Wingdings" w:hAnsi="Wingdings" w:cs="Wingdings"/>
    </w:rPr>
  </w:style>
  <w:style w:type="character" w:styleId="WW8Num883z0">
    <w:name w:val="WW8Num883z0"/>
    <w:qFormat/>
    <w:rPr>
      <w:rFonts w:ascii="Symbol" w:hAnsi="Symbol" w:cs="Symbol"/>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Symbol" w:hAnsi="Symbol" w:cs="Symbol"/>
    </w:rPr>
  </w:style>
  <w:style w:type="character" w:styleId="WW8Num891z0">
    <w:name w:val="WW8Num891z0"/>
    <w:qFormat/>
    <w:rPr>
      <w:rFonts w:ascii="Symbol" w:hAnsi="Symbol" w:cs="Symbol"/>
    </w:rPr>
  </w:style>
  <w:style w:type="character" w:styleId="WW8Num892z0">
    <w:name w:val="WW8Num892z0"/>
    <w:qFormat/>
    <w:rPr>
      <w:rFonts w:ascii="Symbol" w:hAnsi="Symbol" w:cs="Symbol"/>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rFonts w:ascii="Wingdings" w:hAnsi="Wingdings" w:cs="Wingdings"/>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7z0">
    <w:name w:val="WW8Num917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rFonts w:ascii="Symbol" w:hAnsi="Symbol" w:cs="Symbol"/>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Symbol" w:hAnsi="Symbol" w:cs="Symbol"/>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5z0">
    <w:name w:val="WW8Num945z0"/>
    <w:qFormat/>
    <w:rPr>
      <w:rFonts w:ascii="Symbol" w:hAnsi="Symbol" w:cs="Symbol"/>
    </w:rPr>
  </w:style>
  <w:style w:type="character" w:styleId="WW8Num946z0">
    <w:name w:val="WW8Num946z0"/>
    <w:qFormat/>
    <w:rPr>
      <w:rFonts w:ascii="Symbol" w:hAnsi="Symbol" w:cs="Symbol"/>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color w:val="auto"/>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Wingdings" w:hAnsi="Wingdings" w:cs="Wingdings"/>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1z1">
    <w:name w:val="WW8Num1071z1"/>
    <w:qFormat/>
    <w:rPr>
      <w:rFonts w:ascii="Courier New" w:hAnsi="Courier New" w:cs="Courier New"/>
    </w:rPr>
  </w:style>
  <w:style w:type="character" w:styleId="WW8Num1071z2">
    <w:name w:val="WW8Num1071z2"/>
    <w:qFormat/>
    <w:rPr>
      <w:rFonts w:ascii="Wingdings" w:hAnsi="Wingdings" w:cs="Wingdings"/>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099z1">
    <w:name w:val="WW8Num1099z1"/>
    <w:qFormat/>
    <w:rPr>
      <w:rFonts w:ascii="Courier New" w:hAnsi="Courier New" w:cs="Courier New"/>
    </w:rPr>
  </w:style>
  <w:style w:type="character" w:styleId="WW8Num1099z2">
    <w:name w:val="WW8Num1099z2"/>
    <w:qFormat/>
    <w:rPr>
      <w:rFonts w:ascii="Wingdings" w:hAnsi="Wingdings" w:cs="Wingdings"/>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19z1">
    <w:name w:val="WW8Num1119z1"/>
    <w:qFormat/>
    <w:rPr>
      <w:rFonts w:ascii="Courier New" w:hAnsi="Courier New" w:cs="Courier New"/>
    </w:rPr>
  </w:style>
  <w:style w:type="character" w:styleId="WW8Num1119z2">
    <w:name w:val="WW8Num1119z2"/>
    <w:qFormat/>
    <w:rPr>
      <w:rFonts w:ascii="Wingdings" w:hAnsi="Wingdings" w:cs="Wingdings"/>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3z1">
    <w:name w:val="WW8Num1123z1"/>
    <w:qFormat/>
    <w:rPr>
      <w:rFonts w:ascii="Courier New" w:hAnsi="Courier New" w:cs="Courier New"/>
    </w:rPr>
  </w:style>
  <w:style w:type="character" w:styleId="WW8Num1123z2">
    <w:name w:val="WW8Num1123z2"/>
    <w:qFormat/>
    <w:rPr>
      <w:rFonts w:ascii="Wingdings" w:hAnsi="Wingdings" w:cs="Wingdings"/>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2z1">
    <w:name w:val="WW8Num1142z1"/>
    <w:qFormat/>
    <w:rPr>
      <w:rFonts w:ascii="Courier New" w:hAnsi="Courier New" w:cs="Courier New"/>
    </w:rPr>
  </w:style>
  <w:style w:type="character" w:styleId="WW8Num1142z2">
    <w:name w:val="WW8Num1142z2"/>
    <w:qFormat/>
    <w:rPr>
      <w:rFonts w:ascii="Wingdings" w:hAnsi="Wingdings" w:cs="Wingdings"/>
    </w:rPr>
  </w:style>
  <w:style w:type="character" w:styleId="WW8Num1143z0">
    <w:name w:val="WW8Num1143z0"/>
    <w:qFormat/>
    <w:rPr>
      <w:rFonts w:ascii="Symbol" w:hAnsi="Symbol" w:cs="Symbol"/>
    </w:rPr>
  </w:style>
  <w:style w:type="character" w:styleId="WW8Num1144z0">
    <w:name w:val="WW8Num1144z0"/>
    <w:qFormat/>
    <w:rPr>
      <w:rFonts w:ascii="Symbol" w:hAnsi="Symbol" w:cs="Symbol"/>
    </w:rPr>
  </w:style>
  <w:style w:type="character" w:styleId="WW8Num1144z1">
    <w:name w:val="WW8Num1144z1"/>
    <w:qFormat/>
    <w:rPr>
      <w:rFonts w:ascii="Courier New" w:hAnsi="Courier New" w:cs="Courier New"/>
    </w:rPr>
  </w:style>
  <w:style w:type="character" w:styleId="WW8Num1144z2">
    <w:name w:val="WW8Num1144z2"/>
    <w:qFormat/>
    <w:rPr>
      <w:rFonts w:ascii="Wingdings" w:hAnsi="Wingdings" w:cs="Wingdings"/>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8z1">
    <w:name w:val="WW8Num1158z1"/>
    <w:qFormat/>
    <w:rPr>
      <w:rFonts w:ascii="Courier New" w:hAnsi="Courier New" w:cs="Courier New"/>
    </w:rPr>
  </w:style>
  <w:style w:type="character" w:styleId="WW8Num1158z2">
    <w:name w:val="WW8Num1158z2"/>
    <w:qFormat/>
    <w:rPr>
      <w:rFonts w:ascii="Wingdings" w:hAnsi="Wingdings" w:cs="Wingdings"/>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Symbol" w:hAnsi="Symbol" w:cs="Symbol"/>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1z1">
    <w:name w:val="WW8Num1221z1"/>
    <w:qFormat/>
    <w:rPr>
      <w:rFonts w:ascii="Courier New" w:hAnsi="Courier New" w:cs="Courier New"/>
    </w:rPr>
  </w:style>
  <w:style w:type="character" w:styleId="WW8Num1221z2">
    <w:name w:val="WW8Num1221z2"/>
    <w:qFormat/>
    <w:rPr>
      <w:rFonts w:ascii="Wingdings" w:hAnsi="Wingdings" w:cs="Wingdings"/>
    </w:rPr>
  </w:style>
  <w:style w:type="character" w:styleId="WW8Num1222z0">
    <w:name w:val="WW8Num1222z0"/>
    <w:qFormat/>
    <w:rPr>
      <w:rFonts w:ascii="Symbol" w:hAnsi="Symbol" w:cs="Symbol"/>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rFonts w:ascii="Symbol" w:hAnsi="Symbol" w:cs="Symbol"/>
    </w:rPr>
  </w:style>
  <w:style w:type="character" w:styleId="WW8Num1237z0">
    <w:name w:val="WW8Num1237z0"/>
    <w:qFormat/>
    <w:rPr>
      <w:rFonts w:ascii="Wingdings" w:hAnsi="Wingdings" w:cs="Wingdings"/>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40z0">
    <w:name w:val="WW8Num1240z0"/>
    <w:qFormat/>
    <w:rPr>
      <w:rFonts w:ascii="Symbol" w:hAnsi="Symbol" w:cs="Symbol"/>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1z1">
    <w:name w:val="WW8Num1311z1"/>
    <w:qFormat/>
    <w:rPr>
      <w:rFonts w:ascii="Courier New" w:hAnsi="Courier New" w:cs="Courier New"/>
    </w:rPr>
  </w:style>
  <w:style w:type="character" w:styleId="WW8Num1311z2">
    <w:name w:val="WW8Num1311z2"/>
    <w:qFormat/>
    <w:rPr>
      <w:rFonts w:ascii="Wingdings" w:hAnsi="Wingdings" w:cs="Wingdings"/>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8z1">
    <w:name w:val="WW8Num1328z1"/>
    <w:qFormat/>
    <w:rPr>
      <w:rFonts w:ascii="Courier New" w:hAnsi="Courier New" w:cs="Courier New"/>
    </w:rPr>
  </w:style>
  <w:style w:type="character" w:styleId="WW8Num1328z2">
    <w:name w:val="WW8Num1328z2"/>
    <w:qFormat/>
    <w:rPr>
      <w:rFonts w:ascii="Wingdings" w:hAnsi="Wingdings" w:cs="Wingdings"/>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4z1">
    <w:name w:val="WW8Num1354z1"/>
    <w:qFormat/>
    <w:rPr>
      <w:rFonts w:ascii="Courier New" w:hAnsi="Courier New" w:cs="Courier New"/>
    </w:rPr>
  </w:style>
  <w:style w:type="character" w:styleId="WW8Num1354z2">
    <w:name w:val="WW8Num1354z2"/>
    <w:qFormat/>
    <w:rPr>
      <w:rFonts w:ascii="Wingdings" w:hAnsi="Wingdings" w:cs="Wingdings"/>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7z0">
    <w:name w:val="WW8Num1407z0"/>
    <w:qFormat/>
    <w:rPr>
      <w:rFonts w:ascii="Symbol" w:hAnsi="Symbol" w:cs="Symbol"/>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1z0">
    <w:name w:val="WW8Num1421z0"/>
    <w:qFormat/>
    <w:rPr>
      <w:rFonts w:ascii="Symbol" w:hAnsi="Symbol" w:cs="Symbol"/>
    </w:rPr>
  </w:style>
  <w:style w:type="character" w:styleId="WW8Num1422z0">
    <w:name w:val="WW8Num1422z0"/>
    <w:qFormat/>
    <w:rPr>
      <w:rFonts w:ascii="Symbol" w:hAnsi="Symbol" w:cs="Symbol"/>
    </w:rPr>
  </w:style>
  <w:style w:type="character" w:styleId="WW8Num1423z0">
    <w:name w:val="WW8Num1423z0"/>
    <w:qFormat/>
    <w:rPr>
      <w:rFonts w:ascii="Symbol" w:hAnsi="Symbol" w:cs="Symbol"/>
    </w:rPr>
  </w:style>
  <w:style w:type="character" w:styleId="WW8Num1424z0">
    <w:name w:val="WW8Num1424z0"/>
    <w:qFormat/>
    <w:rPr>
      <w:rFonts w:ascii="Symbol" w:hAnsi="Symbol" w:cs="Symbol"/>
    </w:rPr>
  </w:style>
  <w:style w:type="character" w:styleId="WW8Num1425z0">
    <w:name w:val="WW8Num1425z0"/>
    <w:qFormat/>
    <w:rPr>
      <w:rFonts w:ascii="Symbol" w:hAnsi="Symbol" w:cs="Symbol"/>
    </w:rPr>
  </w:style>
  <w:style w:type="character" w:styleId="WW8Num1425z1">
    <w:name w:val="WW8Num1425z1"/>
    <w:qFormat/>
    <w:rPr>
      <w:rFonts w:ascii="Courier New" w:hAnsi="Courier New" w:cs="Courier New"/>
    </w:rPr>
  </w:style>
  <w:style w:type="character" w:styleId="WW8Num1425z2">
    <w:name w:val="WW8Num1425z2"/>
    <w:qFormat/>
    <w:rPr>
      <w:rFonts w:ascii="Wingdings" w:hAnsi="Wingdings" w:cs="Wingdings"/>
    </w:rPr>
  </w:style>
  <w:style w:type="character" w:styleId="WW8Num1426z0">
    <w:name w:val="WW8Num1426z0"/>
    <w:qFormat/>
    <w:rPr>
      <w:rFonts w:ascii="Symbol" w:hAnsi="Symbol" w:cs="Symbol"/>
    </w:rPr>
  </w:style>
  <w:style w:type="character" w:styleId="WW8Num1427z0">
    <w:name w:val="WW8Num1427z0"/>
    <w:qFormat/>
    <w:rPr>
      <w:rFonts w:ascii="Symbol" w:hAnsi="Symbol" w:cs="Symbol"/>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WW8NumSt1416z0">
    <w:name w:val="WW8NumSt14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Arial" w:hAnsi="Helv;Arial" w:cs="Helv;Arial"/>
      <w:color w:val="000000"/>
    </w:rPr>
  </w:style>
  <w:style w:type="paragraph" w:styleId="WW-BodyText2">
    <w:name w:val="WW-Body Text 2"/>
    <w:basedOn w:val="Normal"/>
    <w:qFormat/>
    <w:pPr>
      <w:spacing w:lineRule="atLeast" w:line="240"/>
      <w:ind w:hanging="0" w:start="360" w:end="0"/>
      <w:jc w:val="both"/>
    </w:pPr>
    <w:rPr>
      <w:rFonts w:ascii="Helv;Arial" w:hAnsi="Helv;Arial" w:cs="Helv;Arial"/>
      <w:color w:val="800080"/>
    </w:rPr>
  </w:style>
  <w:style w:type="paragraph" w:styleId="BodyText3">
    <w:name w:val="Body Text 3"/>
    <w:basedOn w:val="Normal"/>
    <w:qFormat/>
    <w:pPr>
      <w:spacing w:lineRule="atLeast" w:line="240"/>
    </w:pPr>
    <w:rPr>
      <w:rFonts w:ascii="Helv;Arial" w:hAnsi="Helv;Arial" w:cs="Helv;Arial"/>
      <w:color w:val="000000"/>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6"/>
      </w:numPr>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2001-07-05T12:51:00Z</dcterms:created>
  <dc:creator>ET&amp;S</dc:creator>
  <dc:description/>
  <dc:language>en-CA</dc:language>
  <cp:lastModifiedBy>acarril</cp:lastModifiedBy>
  <cp:lastPrinted>2001-07-05T15:09:00Z</cp:lastPrinted>
  <dcterms:modified xsi:type="dcterms:W3CDTF">2001-07-05T17:47:00Z</dcterms:modified>
  <cp:revision>10</cp:revision>
  <dc:subject/>
  <dc:title>ET&amp;S Market Services </dc:title>
</cp:coreProperties>
</file>