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530" w:type="dxa"/>
        <w:jc w:val="start"/>
        <w:tblInd w:w="288" w:type="dxa"/>
        <w:tblLayout w:type="fixed"/>
        <w:tblCellMar>
          <w:top w:w="0" w:type="dxa"/>
          <w:start w:w="108" w:type="dxa"/>
          <w:bottom w:w="0" w:type="dxa"/>
          <w:end w:w="108" w:type="dxa"/>
        </w:tblCellMar>
      </w:tblPr>
      <w:tblGrid>
        <w:gridCol w:w="2856"/>
        <w:gridCol w:w="4168"/>
        <w:gridCol w:w="3506"/>
      </w:tblGrid>
      <w:tr>
        <w:trPr/>
        <w:tc>
          <w:tcPr>
            <w:tcW w:w="2856" w:type="dxa"/>
            <w:tcBorders/>
          </w:tcPr>
          <w:p>
            <w:pPr>
              <w:pStyle w:val="Normal"/>
              <w:tabs>
                <w:tab w:val="clear" w:pos="720"/>
                <w:tab w:val="right" w:pos="8640" w:leader="none"/>
              </w:tabs>
              <w:jc w:val="both"/>
              <w:rPr/>
            </w:pPr>
            <w:r>
              <w:rPr/>
              <w:drawing>
                <wp:inline distT="0" distB="0" distL="0" distR="0">
                  <wp:extent cx="948055" cy="93218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48055" cy="932180"/>
                          </a:xfrm>
                          <a:prstGeom prst="rect">
                            <a:avLst/>
                          </a:prstGeom>
                          <a:noFill/>
                        </pic:spPr>
                      </pic:pic>
                    </a:graphicData>
                  </a:graphic>
                </wp:inline>
              </w:drawing>
            </w:r>
            <w:r>
              <w:rPr>
                <w:rFonts w:eastAsia="Tms Rmn;Times New Roman"/>
                <w:b/>
                <w:sz w:val="30"/>
              </w:rPr>
              <w:t xml:space="preserve"> </w:t>
            </w:r>
            <w:r>
              <w:rPr>
                <w:b/>
                <w:sz w:val="30"/>
              </w:rPr>
              <w:tab/>
            </w:r>
          </w:p>
          <w:p>
            <w:pPr>
              <w:pStyle w:val="Normal"/>
              <w:tabs>
                <w:tab w:val="clear" w:pos="720"/>
                <w:tab w:val="right" w:pos="8640" w:leader="none"/>
              </w:tabs>
              <w:jc w:val="both"/>
              <w:rPr>
                <w:b/>
                <w:sz w:val="16"/>
              </w:rPr>
            </w:pPr>
            <w:r>
              <w:rPr>
                <w:b/>
                <w:sz w:val="16"/>
              </w:rPr>
              <w:t>Natural Gas,</w:t>
            </w:r>
          </w:p>
          <w:p>
            <w:pPr>
              <w:pStyle w:val="Normal"/>
              <w:tabs>
                <w:tab w:val="clear" w:pos="720"/>
                <w:tab w:val="right" w:pos="8640" w:leader="none"/>
              </w:tabs>
              <w:jc w:val="both"/>
              <w:rPr>
                <w:b/>
                <w:sz w:val="16"/>
              </w:rPr>
            </w:pPr>
            <w:r>
              <w:rPr>
                <w:b/>
                <w:sz w:val="16"/>
              </w:rPr>
              <w:t>Electricity and</w:t>
              <w:tab/>
            </w:r>
          </w:p>
          <w:p>
            <w:pPr>
              <w:pStyle w:val="Normal"/>
              <w:tabs>
                <w:tab w:val="clear" w:pos="720"/>
                <w:tab w:val="right" w:pos="8640" w:leader="none"/>
              </w:tabs>
              <w:jc w:val="both"/>
              <w:rPr>
                <w:b/>
                <w:sz w:val="26"/>
              </w:rPr>
            </w:pPr>
            <w:r>
              <w:rPr>
                <w:b/>
                <w:sz w:val="16"/>
              </w:rPr>
              <w:t>Endless Possibilities</w:t>
            </w:r>
            <w:r>
              <w:rPr>
                <w:b/>
                <w:sz w:val="30"/>
              </w:rPr>
              <w:tab/>
            </w:r>
          </w:p>
          <w:p>
            <w:pPr>
              <w:pStyle w:val="Normal"/>
              <w:spacing w:before="20" w:after="0"/>
              <w:rPr>
                <w:b/>
                <w:sz w:val="26"/>
              </w:rPr>
            </w:pPr>
            <w:r>
              <w:rPr>
                <w:b/>
                <w:sz w:val="26"/>
              </w:rPr>
            </w:r>
          </w:p>
        </w:tc>
        <w:tc>
          <w:tcPr>
            <w:tcW w:w="4168" w:type="dxa"/>
            <w:tcBorders/>
          </w:tcPr>
          <w:p>
            <w:pPr>
              <w:pStyle w:val="Normal"/>
              <w:snapToGrid w:val="false"/>
              <w:jc w:val="both"/>
              <w:rPr>
                <w:b/>
                <w:sz w:val="36"/>
              </w:rPr>
            </w:pPr>
            <w:r>
              <w:rPr>
                <w:b/>
                <w:sz w:val="36"/>
              </w:rPr>
            </w:r>
          </w:p>
        </w:tc>
        <w:tc>
          <w:tcPr>
            <w:tcW w:w="3506" w:type="dxa"/>
            <w:tcBorders/>
          </w:tcPr>
          <w:p>
            <w:pPr>
              <w:pStyle w:val="Normal"/>
              <w:snapToGrid w:val="false"/>
              <w:jc w:val="both"/>
              <w:rPr>
                <w:b/>
                <w:sz w:val="22"/>
              </w:rPr>
            </w:pPr>
            <w:r>
              <w:rPr>
                <w:b/>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b/>
                <w:sz w:val="32"/>
              </w:rPr>
            </w:pPr>
            <w:r>
              <w:rPr>
                <w:b/>
                <w:sz w:val="32"/>
              </w:rPr>
              <w:t>Interoffice</w:t>
            </w:r>
          </w:p>
          <w:p>
            <w:pPr>
              <w:pStyle w:val="Normal"/>
              <w:jc w:val="both"/>
              <w:rPr>
                <w:b/>
                <w:sz w:val="36"/>
              </w:rPr>
            </w:pPr>
            <w:r>
              <w:rPr>
                <w:b/>
                <w:sz w:val="32"/>
              </w:rPr>
              <w:t>Memorandum</w:t>
            </w:r>
          </w:p>
        </w:tc>
      </w:tr>
    </w:tbl>
    <w:p>
      <w:pPr>
        <w:pStyle w:val="Normal"/>
        <w:rPr>
          <w:rFonts w:ascii="Arial" w:hAnsi="Arial" w:cs="Arial"/>
          <w:sz w:val="24"/>
        </w:rPr>
      </w:pPr>
      <w:r>
        <w:rPr>
          <w:rFonts w:cs="Arial" w:ascii="Arial" w:hAnsi="Arial"/>
          <w:sz w:val="24"/>
        </w:rPr>
      </w:r>
    </w:p>
    <w:tbl>
      <w:tblPr>
        <w:tblW w:w="9954" w:type="dxa"/>
        <w:jc w:val="start"/>
        <w:tblInd w:w="198" w:type="dxa"/>
        <w:tblLayout w:type="fixed"/>
        <w:tblCellMar>
          <w:top w:w="0" w:type="dxa"/>
          <w:start w:w="108" w:type="dxa"/>
          <w:bottom w:w="0" w:type="dxa"/>
          <w:end w:w="108" w:type="dxa"/>
        </w:tblCellMar>
      </w:tblPr>
      <w:tblGrid>
        <w:gridCol w:w="1260"/>
        <w:gridCol w:w="5400"/>
        <w:gridCol w:w="864"/>
        <w:gridCol w:w="2430"/>
      </w:tblGrid>
      <w:tr>
        <w:trPr/>
        <w:tc>
          <w:tcPr>
            <w:tcW w:w="1260" w:type="dxa"/>
            <w:tcBorders/>
          </w:tcPr>
          <w:p>
            <w:pPr>
              <w:pStyle w:val="Normal"/>
              <w:rPr>
                <w:rFonts w:ascii="Arial" w:hAnsi="Arial" w:cs="Arial"/>
                <w:sz w:val="22"/>
              </w:rPr>
            </w:pPr>
            <w:r>
              <w:rPr>
                <w:rFonts w:cs="Arial" w:ascii="Arial" w:hAnsi="Arial"/>
                <w:sz w:val="22"/>
              </w:rPr>
              <w:t>To:</w:t>
            </w:r>
          </w:p>
        </w:tc>
        <w:tc>
          <w:tcPr>
            <w:tcW w:w="5400" w:type="dxa"/>
            <w:tcBorders/>
          </w:tcPr>
          <w:p>
            <w:pPr>
              <w:pStyle w:val="Normal"/>
              <w:rPr>
                <w:rFonts w:ascii="Arial" w:hAnsi="Arial" w:cs="Arial"/>
                <w:sz w:val="22"/>
              </w:rPr>
            </w:pPr>
            <w:r>
              <w:rPr>
                <w:rFonts w:cs="Arial" w:ascii="Arial" w:hAnsi="Arial"/>
                <w:sz w:val="22"/>
              </w:rPr>
              <w:t>Mark Haedicke</w:t>
            </w:r>
          </w:p>
        </w:tc>
        <w:tc>
          <w:tcPr>
            <w:tcW w:w="864" w:type="dxa"/>
            <w:tcBorders/>
          </w:tcPr>
          <w:p>
            <w:pPr>
              <w:pStyle w:val="Normal"/>
              <w:snapToGrid w:val="false"/>
              <w:rPr>
                <w:rFonts w:ascii="Arial" w:hAnsi="Arial" w:cs="Arial"/>
                <w:sz w:val="24"/>
              </w:rPr>
            </w:pPr>
            <w:r>
              <w:rPr>
                <w:rFonts w:cs="Arial" w:ascii="Arial" w:hAnsi="Arial"/>
                <w:sz w:val="24"/>
              </w:rPr>
            </w:r>
          </w:p>
        </w:tc>
        <w:tc>
          <w:tcPr>
            <w:tcW w:w="2430" w:type="dxa"/>
            <w:tcBorders/>
          </w:tcPr>
          <w:p>
            <w:pPr>
              <w:pStyle w:val="Normal"/>
              <w:snapToGrid w:val="false"/>
              <w:rPr>
                <w:rFonts w:ascii="Arial" w:hAnsi="Arial" w:cs="Arial"/>
                <w:sz w:val="24"/>
              </w:rPr>
            </w:pPr>
            <w:r>
              <w:rPr>
                <w:rFonts w:cs="Arial" w:ascii="Arial" w:hAnsi="Arial"/>
                <w:sz w:val="24"/>
              </w:rPr>
            </w:r>
          </w:p>
        </w:tc>
      </w:tr>
      <w:tr>
        <w:trPr/>
        <w:tc>
          <w:tcPr>
            <w:tcW w:w="1260" w:type="dxa"/>
            <w:tcBorders/>
          </w:tcPr>
          <w:p>
            <w:pPr>
              <w:pStyle w:val="Normal"/>
              <w:snapToGrid w:val="false"/>
              <w:rPr>
                <w:rFonts w:ascii="Arial" w:hAnsi="Arial" w:cs="Arial"/>
                <w:sz w:val="18"/>
              </w:rPr>
            </w:pPr>
            <w:r>
              <w:rPr>
                <w:rFonts w:cs="Arial" w:ascii="Arial" w:hAnsi="Arial"/>
                <w:sz w:val="18"/>
              </w:rPr>
            </w:r>
          </w:p>
        </w:tc>
        <w:tc>
          <w:tcPr>
            <w:tcW w:w="5400" w:type="dxa"/>
            <w:tcBorders/>
          </w:tcPr>
          <w:p>
            <w:pPr>
              <w:pStyle w:val="Normal"/>
              <w:snapToGrid w:val="false"/>
              <w:rPr>
                <w:sz w:val="18"/>
              </w:rPr>
            </w:pPr>
            <w:r>
              <w:rPr>
                <w:sz w:val="18"/>
              </w:rPr>
            </w:r>
          </w:p>
        </w:tc>
        <w:tc>
          <w:tcPr>
            <w:tcW w:w="864" w:type="dxa"/>
            <w:tcBorders/>
          </w:tcPr>
          <w:p>
            <w:pPr>
              <w:pStyle w:val="Normal"/>
              <w:snapToGrid w:val="false"/>
              <w:rPr>
                <w:sz w:val="18"/>
              </w:rPr>
            </w:pPr>
            <w:r>
              <w:rPr>
                <w:sz w:val="18"/>
              </w:rPr>
            </w:r>
          </w:p>
        </w:tc>
        <w:tc>
          <w:tcPr>
            <w:tcW w:w="2430" w:type="dxa"/>
            <w:tcBorders/>
          </w:tcPr>
          <w:p>
            <w:pPr>
              <w:pStyle w:val="Normal"/>
              <w:snapToGrid w:val="false"/>
              <w:rPr>
                <w:sz w:val="18"/>
              </w:rPr>
            </w:pPr>
            <w:r>
              <w:rPr>
                <w:sz w:val="18"/>
              </w:rPr>
            </w:r>
          </w:p>
        </w:tc>
      </w:tr>
      <w:tr>
        <w:trPr/>
        <w:tc>
          <w:tcPr>
            <w:tcW w:w="1260" w:type="dxa"/>
            <w:tcBorders/>
          </w:tcPr>
          <w:p>
            <w:pPr>
              <w:pStyle w:val="Department"/>
              <w:rPr/>
            </w:pPr>
            <w:r>
              <w:rPr/>
              <w:t>From:</w:t>
            </w:r>
          </w:p>
        </w:tc>
        <w:tc>
          <w:tcPr>
            <w:tcW w:w="5400" w:type="dxa"/>
            <w:tcBorders/>
          </w:tcPr>
          <w:p>
            <w:pPr>
              <w:pStyle w:val="Department"/>
              <w:rPr>
                <w:sz w:val="22"/>
              </w:rPr>
            </w:pPr>
            <w:r>
              <w:rPr>
                <w:sz w:val="22"/>
              </w:rPr>
              <w:t>Deb Korkmas</w:t>
            </w:r>
          </w:p>
        </w:tc>
        <w:tc>
          <w:tcPr>
            <w:tcW w:w="864" w:type="dxa"/>
            <w:tcBorders/>
          </w:tcPr>
          <w:p>
            <w:pPr>
              <w:pStyle w:val="Department"/>
              <w:rPr/>
            </w:pPr>
            <w:r>
              <w:rPr/>
              <w:t>Dept:</w:t>
            </w:r>
          </w:p>
        </w:tc>
        <w:tc>
          <w:tcPr>
            <w:tcW w:w="2430" w:type="dxa"/>
            <w:tcBorders/>
          </w:tcPr>
          <w:p>
            <w:pPr>
              <w:pStyle w:val="Department"/>
              <w:rPr>
                <w:sz w:val="22"/>
              </w:rPr>
            </w:pPr>
            <w:bookmarkStart w:id="0" w:name="From"/>
            <w:bookmarkEnd w:id="0"/>
            <w:r>
              <w:rPr>
                <w:sz w:val="22"/>
              </w:rPr>
              <w:t>ENA Legal</w:t>
            </w:r>
          </w:p>
        </w:tc>
      </w:tr>
      <w:tr>
        <w:trPr/>
        <w:tc>
          <w:tcPr>
            <w:tcW w:w="1260" w:type="dxa"/>
            <w:tcBorders/>
          </w:tcPr>
          <w:p>
            <w:pPr>
              <w:pStyle w:val="Normal"/>
              <w:snapToGrid w:val="false"/>
              <w:rPr>
                <w:sz w:val="18"/>
              </w:rPr>
            </w:pPr>
            <w:r>
              <w:rPr>
                <w:sz w:val="18"/>
              </w:rPr>
            </w:r>
          </w:p>
        </w:tc>
        <w:tc>
          <w:tcPr>
            <w:tcW w:w="5400" w:type="dxa"/>
            <w:tcBorders/>
          </w:tcPr>
          <w:p>
            <w:pPr>
              <w:pStyle w:val="Normal"/>
              <w:snapToGrid w:val="false"/>
              <w:rPr>
                <w:sz w:val="22"/>
              </w:rPr>
            </w:pPr>
            <w:r>
              <w:rPr>
                <w:sz w:val="22"/>
              </w:rPr>
            </w:r>
          </w:p>
        </w:tc>
        <w:tc>
          <w:tcPr>
            <w:tcW w:w="864" w:type="dxa"/>
            <w:tcBorders/>
          </w:tcPr>
          <w:p>
            <w:pPr>
              <w:pStyle w:val="Normal"/>
              <w:snapToGrid w:val="false"/>
              <w:rPr>
                <w:sz w:val="18"/>
              </w:rPr>
            </w:pPr>
            <w:r>
              <w:rPr>
                <w:sz w:val="18"/>
              </w:rPr>
            </w:r>
          </w:p>
        </w:tc>
        <w:tc>
          <w:tcPr>
            <w:tcW w:w="2430" w:type="dxa"/>
            <w:tcBorders/>
          </w:tcPr>
          <w:p>
            <w:pPr>
              <w:pStyle w:val="Normal"/>
              <w:snapToGrid w:val="false"/>
              <w:rPr>
                <w:sz w:val="18"/>
              </w:rPr>
            </w:pPr>
            <w:r>
              <w:rPr>
                <w:sz w:val="18"/>
              </w:rPr>
            </w:r>
          </w:p>
        </w:tc>
      </w:tr>
      <w:tr>
        <w:trPr/>
        <w:tc>
          <w:tcPr>
            <w:tcW w:w="1260" w:type="dxa"/>
            <w:tcBorders/>
          </w:tcPr>
          <w:p>
            <w:pPr>
              <w:pStyle w:val="Date"/>
              <w:rPr/>
            </w:pPr>
            <w:r>
              <w:rPr/>
              <w:t>Subject:</w:t>
            </w:r>
          </w:p>
        </w:tc>
        <w:tc>
          <w:tcPr>
            <w:tcW w:w="5400" w:type="dxa"/>
            <w:tcBorders/>
          </w:tcPr>
          <w:p>
            <w:pPr>
              <w:pStyle w:val="Date"/>
              <w:rPr>
                <w:sz w:val="22"/>
              </w:rPr>
            </w:pPr>
            <w:r>
              <w:rPr>
                <w:sz w:val="22"/>
              </w:rPr>
              <w:t>ENA Legal Budget @ August 31, 2000</w:t>
            </w:r>
          </w:p>
        </w:tc>
        <w:tc>
          <w:tcPr>
            <w:tcW w:w="864" w:type="dxa"/>
            <w:tcBorders/>
          </w:tcPr>
          <w:p>
            <w:pPr>
              <w:pStyle w:val="Date"/>
              <w:rPr/>
            </w:pPr>
            <w:r>
              <w:rPr/>
              <w:t>Date:</w:t>
            </w:r>
          </w:p>
        </w:tc>
        <w:tc>
          <w:tcPr>
            <w:tcW w:w="2430" w:type="dxa"/>
            <w:tcBorders/>
          </w:tcPr>
          <w:p>
            <w:pPr>
              <w:pStyle w:val="Date"/>
              <w:rPr>
                <w:sz w:val="22"/>
              </w:rPr>
            </w:pPr>
            <w:r>
              <w:rPr>
                <w:sz w:val="22"/>
              </w:rPr>
              <w:t>October 2, 2000</w:t>
            </w:r>
          </w:p>
        </w:tc>
      </w:tr>
    </w:tbl>
    <w:p>
      <w:pPr>
        <w:pStyle w:val="Body"/>
        <w:jc w:val="both"/>
        <w:rPr>
          <w:sz w:val="24"/>
        </w:rPr>
      </w:pPr>
      <w:bookmarkStart w:id="1" w:name="StartOfMemo"/>
      <w:bookmarkEnd w:id="1"/>
      <w:r>
        <w:rPr>
          <w:sz w:val="24"/>
        </w:rPr>
        <w:t>_____________________________________________________________________</w:t>
      </w:r>
    </w:p>
    <w:p>
      <w:pPr>
        <w:pStyle w:val="Body"/>
        <w:jc w:val="both"/>
        <w:rPr>
          <w:sz w:val="24"/>
        </w:rPr>
      </w:pPr>
      <w:r>
        <w:rPr>
          <w:sz w:val="24"/>
        </w:rPr>
      </w:r>
    </w:p>
    <w:p>
      <w:pPr>
        <w:pStyle w:val="Body"/>
        <w:jc w:val="both"/>
        <w:rPr/>
      </w:pPr>
      <w:r>
        <w:rPr/>
        <w:tab/>
      </w:r>
      <w:r>
        <w:rPr>
          <w:sz w:val="24"/>
        </w:rPr>
        <w:t xml:space="preserve">I have reviewed the O&amp;M Expenses for ENA Legal for month-ended August 31, 2000, as compared to the budgeted amount for the same period.   The overall legal budget was $4,835,184 over budget as of August 31, primarily due to Outside Costs which went over the planned amount by $5,094,838.  The most significant outside costs were incurred in litigation, power plant development, legally intensive deals such as United Illuminating, and misallocated costs for Projects Summer and California.  The Inside Costs were under budget in the amount of $259,654.  </w:t>
      </w:r>
    </w:p>
    <w:p>
      <w:pPr>
        <w:pStyle w:val="Body"/>
        <w:jc w:val="both"/>
        <w:rPr>
          <w:sz w:val="24"/>
        </w:rPr>
      </w:pPr>
      <w:r>
        <w:rPr>
          <w:sz w:val="24"/>
        </w:rPr>
      </w:r>
    </w:p>
    <w:p>
      <w:pPr>
        <w:pStyle w:val="Body"/>
        <w:jc w:val="both"/>
        <w:rPr>
          <w:sz w:val="24"/>
        </w:rPr>
      </w:pPr>
      <w:r>
        <w:rPr>
          <w:sz w:val="24"/>
        </w:rPr>
        <w:tab/>
        <w:t>If you have any questions, please call me at extension 35448.</w:t>
      </w:r>
    </w:p>
    <w:p>
      <w:pPr>
        <w:pStyle w:val="Body"/>
        <w:jc w:val="both"/>
        <w:rPr>
          <w:sz w:val="24"/>
        </w:rPr>
      </w:pPr>
      <w:r>
        <w:rPr>
          <w:sz w:val="24"/>
        </w:rPr>
      </w:r>
    </w:p>
    <w:p>
      <w:pPr>
        <w:pStyle w:val="Body"/>
        <w:jc w:val="both"/>
        <w:rPr>
          <w:sz w:val="24"/>
        </w:rPr>
      </w:pPr>
      <w:r>
        <w:rPr>
          <w:sz w:val="24"/>
        </w:rPr>
      </w:r>
    </w:p>
    <w:sectPr>
      <w:footerReference w:type="default" r:id="rId3"/>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8"/>
      </w:rPr>
    </w:pPr>
    <w:r>
      <w:rPr>
        <w:sz w:val="18"/>
      </w:rPr>
      <w:t>O:\DKORKMAS\MEMOS\BUDMEM5.DOC</w:t>
    </w:r>
  </w:p>
</w:ftr>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Times New Roman" w:hAnsi="Tms Rmn;Times New Roman" w:eastAsia="Times New Roman" w:cs="Tms Rmn;Times New Roman"/>
      <w:color w:val="auto"/>
      <w:sz w:val="20"/>
      <w:szCs w:val="20"/>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ndnoteText">
    <w:name w:val="endnote text"/>
    <w:basedOn w:val="Normal"/>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Date">
    <w:name w:val="Date"/>
    <w:basedOn w:val="Normal"/>
    <w:qFormat/>
    <w:pPr/>
    <w:rPr>
      <w:rFonts w:ascii="Arial" w:hAnsi="Arial" w:cs="Arial"/>
    </w:rPr>
  </w:style>
  <w:style w:type="paragraph" w:styleId="Body">
    <w:name w:val="Body"/>
    <w:basedOn w:val="Normal"/>
    <w:qFormat/>
    <w:pPr>
      <w:ind w:hanging="0" w:start="72" w:end="0"/>
    </w:pPr>
    <w:rPr>
      <w:rFonts w:ascii="Arial" w:hAnsi="Arial" w:cs="Arial"/>
      <w:color w:val="000080"/>
    </w:rPr>
  </w:style>
  <w:style w:type="paragraph" w:styleId="Department">
    <w:name w:val="Department"/>
    <w:basedOn w:val="Normal"/>
    <w:qFormat/>
    <w:pPr/>
    <w:rPr>
      <w:rFonts w:ascii="Arial" w:hAnsi="Arial" w:cs="Arial"/>
    </w:rPr>
  </w:style>
  <w:style w:type="paragraph" w:styleId="Header">
    <w:name w:val="head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523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1999-02-11T13:50:00Z</dcterms:created>
  <dc:creator>ECT</dc:creator>
  <dc:description/>
  <dc:language>en-CA</dc:language>
  <cp:lastModifiedBy>dkorkma</cp:lastModifiedBy>
  <cp:lastPrinted>2000-05-19T11:36:00Z</cp:lastPrinted>
  <dcterms:modified xsi:type="dcterms:W3CDTF">2000-10-02T17:17:00Z</dcterms:modified>
  <cp:revision>14</cp:revision>
  <dc:subject/>
  <dc:title>Form of Memo</dc:title>
</cp:coreProperties>
</file>